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84A4B9" w14:textId="77777777" w:rsidR="00B731C3" w:rsidRDefault="00B731C3" w:rsidP="00B731C3">
      <w:pPr>
        <w:pStyle w:val="Vahedeta"/>
        <w:jc w:val="right"/>
        <w:rPr>
          <w:rFonts w:cstheme="minorHAnsi"/>
          <w:sz w:val="24"/>
          <w:szCs w:val="24"/>
        </w:rPr>
      </w:pPr>
      <w:r>
        <w:rPr>
          <w:rFonts w:cstheme="minorHAnsi"/>
          <w:sz w:val="24"/>
          <w:szCs w:val="24"/>
        </w:rPr>
        <w:t>07.07.2025</w:t>
      </w:r>
    </w:p>
    <w:p w14:paraId="3DB026E6" w14:textId="77777777" w:rsidR="00B731C3" w:rsidRPr="00C40F43" w:rsidRDefault="00B731C3" w:rsidP="00B731C3">
      <w:pPr>
        <w:pStyle w:val="Vahedeta"/>
        <w:jc w:val="right"/>
        <w:rPr>
          <w:rFonts w:cstheme="minorHAnsi"/>
          <w:sz w:val="24"/>
          <w:szCs w:val="24"/>
        </w:rPr>
      </w:pPr>
    </w:p>
    <w:p w14:paraId="29D114CB" w14:textId="77777777" w:rsidR="00B731C3" w:rsidRPr="008B22A0" w:rsidRDefault="00B731C3" w:rsidP="00B731C3">
      <w:pPr>
        <w:spacing w:after="0" w:line="240" w:lineRule="auto"/>
        <w:jc w:val="center"/>
        <w:rPr>
          <w:rFonts w:ascii="Times New Roman" w:hAnsi="Times New Roman" w:cs="Times New Roman"/>
          <w:sz w:val="32"/>
          <w:szCs w:val="32"/>
        </w:rPr>
      </w:pPr>
      <w:r>
        <w:rPr>
          <w:rFonts w:ascii="Times New Roman" w:hAnsi="Times New Roman" w:cs="Times New Roman"/>
          <w:b/>
          <w:bCs/>
          <w:sz w:val="32"/>
          <w:szCs w:val="32"/>
        </w:rPr>
        <w:t xml:space="preserve">Energiamajanduse korralduse seaduse, elektrituru seaduse ja maagaasi seaduse </w:t>
      </w:r>
      <w:r w:rsidRPr="668466CA">
        <w:rPr>
          <w:rFonts w:ascii="Times New Roman" w:hAnsi="Times New Roman" w:cs="Times New Roman"/>
          <w:b/>
          <w:bCs/>
          <w:sz w:val="32"/>
          <w:szCs w:val="32"/>
        </w:rPr>
        <w:t>muutmise seadus (energiatõhususe direktiivi ülevõtmine)</w:t>
      </w:r>
    </w:p>
    <w:p w14:paraId="551779A0" w14:textId="77777777" w:rsidR="00B731C3" w:rsidRPr="00DB4996" w:rsidRDefault="00B731C3" w:rsidP="00B731C3">
      <w:pPr>
        <w:pStyle w:val="Vahedeta"/>
        <w:rPr>
          <w:rFonts w:cstheme="minorHAnsi"/>
          <w:sz w:val="24"/>
          <w:szCs w:val="24"/>
        </w:rPr>
      </w:pPr>
    </w:p>
    <w:p w14:paraId="00A1CCB7" w14:textId="77777777" w:rsidR="00B731C3" w:rsidRPr="00DB4996" w:rsidRDefault="00B731C3" w:rsidP="00B731C3">
      <w:pPr>
        <w:autoSpaceDE w:val="0"/>
        <w:autoSpaceDN w:val="0"/>
        <w:adjustRightInd w:val="0"/>
        <w:spacing w:after="0" w:line="240" w:lineRule="auto"/>
        <w:jc w:val="both"/>
        <w:rPr>
          <w:rFonts w:eastAsia="Calibri" w:cstheme="minorHAnsi"/>
          <w:b/>
          <w:sz w:val="24"/>
          <w:szCs w:val="24"/>
          <w:lang w:eastAsia="et-EE"/>
        </w:rPr>
      </w:pPr>
      <w:r w:rsidRPr="00DB4996">
        <w:rPr>
          <w:rFonts w:eastAsia="Calibri" w:cstheme="minorHAnsi"/>
          <w:b/>
          <w:sz w:val="24"/>
          <w:szCs w:val="24"/>
          <w:lang w:eastAsia="et-EE"/>
        </w:rPr>
        <w:t>1. Sissejuhatus</w:t>
      </w:r>
    </w:p>
    <w:p w14:paraId="5A3736EF" w14:textId="77777777" w:rsidR="00B731C3" w:rsidRDefault="00B731C3" w:rsidP="00B731C3">
      <w:pPr>
        <w:spacing w:after="0" w:line="240" w:lineRule="auto"/>
        <w:jc w:val="both"/>
        <w:rPr>
          <w:rFonts w:eastAsia="Calibri" w:cstheme="minorHAnsi"/>
          <w:b/>
          <w:bCs/>
          <w:sz w:val="24"/>
          <w:szCs w:val="24"/>
        </w:rPr>
      </w:pPr>
      <w:r w:rsidRPr="00DB4996">
        <w:rPr>
          <w:rFonts w:eastAsia="Calibri" w:cstheme="minorHAnsi"/>
          <w:b/>
          <w:bCs/>
          <w:sz w:val="24"/>
          <w:szCs w:val="24"/>
        </w:rPr>
        <w:t>1.1</w:t>
      </w:r>
      <w:r>
        <w:rPr>
          <w:rFonts w:eastAsia="Calibri" w:cstheme="minorHAnsi"/>
          <w:b/>
          <w:bCs/>
          <w:sz w:val="24"/>
          <w:szCs w:val="24"/>
        </w:rPr>
        <w:t>.</w:t>
      </w:r>
      <w:r w:rsidRPr="00DB4996">
        <w:rPr>
          <w:rFonts w:eastAsia="Calibri" w:cstheme="minorHAnsi"/>
          <w:b/>
          <w:bCs/>
          <w:sz w:val="24"/>
          <w:szCs w:val="24"/>
        </w:rPr>
        <w:t xml:space="preserve"> Sisukokkuvõte</w:t>
      </w:r>
    </w:p>
    <w:p w14:paraId="13436058" w14:textId="77777777" w:rsidR="00B731C3" w:rsidRDefault="00B731C3" w:rsidP="00B731C3">
      <w:pPr>
        <w:spacing w:after="0" w:line="240" w:lineRule="auto"/>
        <w:jc w:val="both"/>
        <w:rPr>
          <w:rFonts w:eastAsia="Calibri" w:cstheme="minorHAnsi"/>
          <w:b/>
          <w:bCs/>
          <w:sz w:val="24"/>
          <w:szCs w:val="24"/>
        </w:rPr>
      </w:pPr>
    </w:p>
    <w:p w14:paraId="1AD3D608" w14:textId="77777777" w:rsidR="00B731C3" w:rsidRDefault="00B731C3" w:rsidP="00B731C3">
      <w:pPr>
        <w:spacing w:after="0" w:line="240" w:lineRule="auto"/>
        <w:jc w:val="both"/>
        <w:rPr>
          <w:rFonts w:eastAsiaTheme="minorEastAsia"/>
          <w:color w:val="202020"/>
          <w:sz w:val="24"/>
          <w:szCs w:val="24"/>
        </w:rPr>
      </w:pPr>
      <w:r w:rsidRPr="004240C2">
        <w:rPr>
          <w:rFonts w:eastAsiaTheme="minorEastAsia"/>
          <w:color w:val="202020"/>
          <w:sz w:val="24"/>
          <w:szCs w:val="24"/>
          <w:shd w:val="clear" w:color="auto" w:fill="FFFFFF"/>
        </w:rPr>
        <w:t>Eelnõukohase seadusega võetakse üle Euroopa Parlamendi ja nõukogu direktiiv ((EL) 2023/1791, mis käsitleb energiatõhusust ja millega muudetakse määrust (EL) 2023/955 (uuesti sõnastatud)</w:t>
      </w:r>
      <w:r w:rsidRPr="004240C2">
        <w:rPr>
          <w:rFonts w:eastAsiaTheme="minorEastAsia"/>
          <w:color w:val="202020"/>
          <w:sz w:val="24"/>
          <w:szCs w:val="24"/>
        </w:rPr>
        <w:t xml:space="preserve"> (edaspidi direktiiv). </w:t>
      </w:r>
    </w:p>
    <w:p w14:paraId="4BC69E03" w14:textId="77777777" w:rsidR="00B731C3" w:rsidRDefault="00B731C3" w:rsidP="00B731C3">
      <w:pPr>
        <w:spacing w:after="0" w:line="240" w:lineRule="auto"/>
        <w:jc w:val="both"/>
        <w:rPr>
          <w:rFonts w:eastAsiaTheme="minorEastAsia"/>
          <w:color w:val="202020"/>
          <w:sz w:val="24"/>
          <w:szCs w:val="24"/>
        </w:rPr>
      </w:pPr>
    </w:p>
    <w:p w14:paraId="1DA8C045" w14:textId="77777777" w:rsidR="00B731C3" w:rsidRDefault="00B731C3" w:rsidP="00B731C3">
      <w:pPr>
        <w:spacing w:after="0" w:line="240" w:lineRule="auto"/>
        <w:jc w:val="both"/>
        <w:rPr>
          <w:color w:val="202020"/>
          <w:sz w:val="24"/>
          <w:szCs w:val="24"/>
          <w:shd w:val="clear" w:color="auto" w:fill="FFFFFF"/>
        </w:rPr>
      </w:pPr>
      <w:r w:rsidRPr="004240C2">
        <w:rPr>
          <w:rFonts w:eastAsiaTheme="minorEastAsia"/>
          <w:color w:val="202020"/>
          <w:sz w:val="24"/>
          <w:szCs w:val="24"/>
        </w:rPr>
        <w:t>Direktiiviga sõnastat</w:t>
      </w:r>
      <w:r w:rsidRPr="54F00CAD">
        <w:rPr>
          <w:rFonts w:eastAsiaTheme="minorEastAsia"/>
          <w:color w:val="202020"/>
          <w:sz w:val="24"/>
          <w:szCs w:val="24"/>
        </w:rPr>
        <w:t>akse</w:t>
      </w:r>
      <w:r w:rsidRPr="004240C2">
        <w:rPr>
          <w:rFonts w:eastAsiaTheme="minorEastAsia"/>
          <w:color w:val="202020"/>
          <w:sz w:val="24"/>
          <w:szCs w:val="24"/>
        </w:rPr>
        <w:t xml:space="preserve"> uuesti direktiiv 2012/27/EL</w:t>
      </w:r>
      <w:r w:rsidRPr="54F00CAD">
        <w:rPr>
          <w:rFonts w:eastAsiaTheme="minorEastAsia"/>
          <w:color w:val="202020"/>
          <w:sz w:val="24"/>
          <w:szCs w:val="24"/>
        </w:rPr>
        <w:t xml:space="preserve"> ja seatakse ELi energiatõhususe eesmärgid aastaks 2030 ning kehtestatakse energiatõhususe esikohale seadmine ELi energiapoliitika aluspõhimõttena</w:t>
      </w:r>
      <w:r w:rsidRPr="54F00CAD" w:rsidDel="00FF0EC1">
        <w:rPr>
          <w:color w:val="202020"/>
          <w:sz w:val="24"/>
          <w:szCs w:val="24"/>
        </w:rPr>
        <w:t>.</w:t>
      </w:r>
      <w:r w:rsidRPr="54F00CAD">
        <w:rPr>
          <w:color w:val="202020"/>
          <w:sz w:val="24"/>
          <w:szCs w:val="24"/>
          <w:shd w:val="clear" w:color="auto" w:fill="FFFFFF"/>
        </w:rPr>
        <w:t xml:space="preserve"> </w:t>
      </w:r>
    </w:p>
    <w:p w14:paraId="6DE4CF1C" w14:textId="77777777" w:rsidR="00B731C3" w:rsidRDefault="00B731C3" w:rsidP="00B731C3">
      <w:pPr>
        <w:spacing w:after="0" w:line="240" w:lineRule="auto"/>
        <w:jc w:val="both"/>
        <w:rPr>
          <w:rFonts w:cstheme="minorHAnsi"/>
          <w:color w:val="202020"/>
          <w:sz w:val="24"/>
          <w:szCs w:val="24"/>
          <w:shd w:val="clear" w:color="auto" w:fill="FFFFFF"/>
        </w:rPr>
      </w:pPr>
    </w:p>
    <w:p w14:paraId="7DEA6047" w14:textId="77777777" w:rsidR="00B731C3" w:rsidRDefault="00B731C3" w:rsidP="00B731C3">
      <w:pPr>
        <w:spacing w:after="0" w:line="240" w:lineRule="auto"/>
        <w:jc w:val="both"/>
        <w:rPr>
          <w:rFonts w:cstheme="minorHAnsi"/>
          <w:color w:val="202020"/>
          <w:sz w:val="24"/>
          <w:szCs w:val="24"/>
          <w:shd w:val="clear" w:color="auto" w:fill="FFFFFF"/>
        </w:rPr>
      </w:pPr>
      <w:r>
        <w:rPr>
          <w:rFonts w:cstheme="minorHAnsi"/>
          <w:color w:val="202020"/>
          <w:sz w:val="24"/>
          <w:szCs w:val="24"/>
          <w:shd w:val="clear" w:color="auto" w:fill="FFFFFF"/>
        </w:rPr>
        <w:t xml:space="preserve">Energiatõhususe direktiivis </w:t>
      </w:r>
      <w:r w:rsidRPr="00A808C4">
        <w:rPr>
          <w:rFonts w:cstheme="minorHAnsi"/>
          <w:color w:val="202020"/>
          <w:sz w:val="24"/>
          <w:szCs w:val="24"/>
          <w:shd w:val="clear" w:color="auto" w:fill="FFFFFF"/>
        </w:rPr>
        <w:t xml:space="preserve">käsitatakse energiatõhusust omaette energiaallikana. </w:t>
      </w:r>
      <w:r>
        <w:rPr>
          <w:rFonts w:cstheme="minorHAnsi"/>
          <w:color w:val="202020"/>
          <w:sz w:val="24"/>
          <w:szCs w:val="24"/>
          <w:shd w:val="clear" w:color="auto" w:fill="FFFFFF"/>
        </w:rPr>
        <w:t>Uue läbiva ja kõikehõlmava põhimõttena tuleb k</w:t>
      </w:r>
      <w:r w:rsidRPr="00A808C4">
        <w:rPr>
          <w:rFonts w:cstheme="minorHAnsi"/>
          <w:color w:val="202020"/>
          <w:sz w:val="24"/>
          <w:szCs w:val="24"/>
          <w:shd w:val="clear" w:color="auto" w:fill="FFFFFF"/>
        </w:rPr>
        <w:t>õigis sektoreis, ka väljaspool energiasüsteemi, sealhulgas finantssektoris</w:t>
      </w:r>
      <w:r>
        <w:rPr>
          <w:rFonts w:cstheme="minorHAnsi"/>
          <w:color w:val="202020"/>
          <w:sz w:val="24"/>
          <w:szCs w:val="24"/>
          <w:shd w:val="clear" w:color="auto" w:fill="FFFFFF"/>
        </w:rPr>
        <w:t>,</w:t>
      </w:r>
      <w:r w:rsidRPr="00A808C4">
        <w:rPr>
          <w:rFonts w:cstheme="minorHAnsi"/>
          <w:color w:val="202020"/>
          <w:sz w:val="24"/>
          <w:szCs w:val="24"/>
          <w:shd w:val="clear" w:color="auto" w:fill="FFFFFF"/>
        </w:rPr>
        <w:t xml:space="preserve"> arvesse võtta energiatõhususe esikohale seadmise põhimõtet. </w:t>
      </w:r>
      <w:r>
        <w:rPr>
          <w:rFonts w:cstheme="minorHAnsi"/>
          <w:color w:val="202020"/>
          <w:sz w:val="24"/>
          <w:szCs w:val="24"/>
          <w:shd w:val="clear" w:color="auto" w:fill="FFFFFF"/>
        </w:rPr>
        <w:t>T</w:t>
      </w:r>
      <w:r w:rsidRPr="00A808C4">
        <w:rPr>
          <w:rFonts w:cstheme="minorHAnsi"/>
          <w:color w:val="202020"/>
          <w:sz w:val="24"/>
          <w:szCs w:val="24"/>
          <w:shd w:val="clear" w:color="auto" w:fill="FFFFFF"/>
        </w:rPr>
        <w:t xml:space="preserve">arne- ja poliitikavaldkondades kehtestatavate </w:t>
      </w:r>
      <w:r>
        <w:rPr>
          <w:rFonts w:cstheme="minorHAnsi"/>
          <w:color w:val="202020"/>
          <w:sz w:val="24"/>
          <w:szCs w:val="24"/>
          <w:shd w:val="clear" w:color="auto" w:fill="FFFFFF"/>
        </w:rPr>
        <w:t xml:space="preserve">uute </w:t>
      </w:r>
      <w:r w:rsidRPr="00A808C4">
        <w:rPr>
          <w:rFonts w:cstheme="minorHAnsi"/>
          <w:color w:val="202020"/>
          <w:sz w:val="24"/>
          <w:szCs w:val="24"/>
          <w:shd w:val="clear" w:color="auto" w:fill="FFFFFF"/>
        </w:rPr>
        <w:t>normide kindlaksmääramisel tuleks poliitilistes, kavandamis- ja investeerimisotsustes esimese valikuna kaaluda energiatõhususe lahendusi.</w:t>
      </w:r>
    </w:p>
    <w:p w14:paraId="237C6E6B" w14:textId="77777777" w:rsidR="00B731C3" w:rsidRDefault="00B731C3" w:rsidP="00B731C3">
      <w:pPr>
        <w:spacing w:after="0" w:line="240" w:lineRule="auto"/>
        <w:jc w:val="both"/>
        <w:rPr>
          <w:rFonts w:cstheme="minorHAnsi"/>
          <w:color w:val="202020"/>
          <w:sz w:val="24"/>
          <w:szCs w:val="24"/>
          <w:shd w:val="clear" w:color="auto" w:fill="FFFFFF"/>
        </w:rPr>
      </w:pPr>
    </w:p>
    <w:p w14:paraId="77A4C4A0" w14:textId="196C7B27" w:rsidR="00B731C3" w:rsidRDefault="00B731C3" w:rsidP="00B731C3">
      <w:pPr>
        <w:spacing w:after="0" w:line="240" w:lineRule="auto"/>
        <w:jc w:val="both"/>
        <w:rPr>
          <w:rFonts w:cstheme="minorHAnsi"/>
          <w:color w:val="202020"/>
          <w:sz w:val="24"/>
          <w:szCs w:val="24"/>
          <w:shd w:val="clear" w:color="auto" w:fill="FFFFFF"/>
        </w:rPr>
      </w:pPr>
      <w:r w:rsidRPr="718A8AAF">
        <w:rPr>
          <w:color w:val="202020"/>
          <w:sz w:val="24"/>
          <w:szCs w:val="24"/>
          <w:shd w:val="clear" w:color="auto" w:fill="FFFFFF"/>
        </w:rPr>
        <w:t>Eelnõu kohustab riiki parandama energiatõhusust selliselt, et sõltumata majanduskasvu tasemest peab olema eesmärgiks energiatarbimise vähendamine.</w:t>
      </w:r>
      <w:r w:rsidRPr="00677B4C">
        <w:t xml:space="preserve"> </w:t>
      </w:r>
      <w:r w:rsidRPr="00677B4C">
        <w:rPr>
          <w:color w:val="202020"/>
          <w:sz w:val="24"/>
          <w:szCs w:val="24"/>
          <w:shd w:val="clear" w:color="auto" w:fill="FFFFFF"/>
        </w:rPr>
        <w:t xml:space="preserve">Energiatarbimise vähendamine transpordi, energeetika ja hoonete valdkonnas aitab meil liikuda kliimakindlama majanduse suunas. Lisaks on oluline, et energiatõhususe parandamise meetmetel on positiivne mõju esmase </w:t>
      </w:r>
      <w:r w:rsidRPr="00677B4C">
        <w:rPr>
          <w:color w:val="202020"/>
          <w:sz w:val="24"/>
          <w:szCs w:val="24"/>
          <w:shd w:val="clear" w:color="auto" w:fill="FFFFFF"/>
        </w:rPr>
        <w:t>toorme vähendamisele, seeläbi elurikkuse ja bioloogilise mitmekesisuse säilimisele</w:t>
      </w:r>
      <w:r w:rsidR="00D630BB">
        <w:rPr>
          <w:color w:val="202020"/>
          <w:sz w:val="24"/>
          <w:szCs w:val="24"/>
          <w:shd w:val="clear" w:color="auto" w:fill="FFFFFF"/>
        </w:rPr>
        <w:t xml:space="preserve"> ja majandusliku kulutõhususe parandamisele.</w:t>
      </w:r>
      <w:r w:rsidRPr="00677B4C">
        <w:rPr>
          <w:color w:val="202020"/>
          <w:sz w:val="24"/>
          <w:szCs w:val="24"/>
          <w:shd w:val="clear" w:color="auto" w:fill="FFFFFF"/>
        </w:rPr>
        <w:t xml:space="preserve"> </w:t>
      </w:r>
      <w:r w:rsidR="00D630BB">
        <w:rPr>
          <w:color w:val="202020"/>
          <w:sz w:val="24"/>
          <w:szCs w:val="24"/>
          <w:shd w:val="clear" w:color="auto" w:fill="FFFFFF"/>
        </w:rPr>
        <w:t>K</w:t>
      </w:r>
      <w:r w:rsidRPr="00677B4C">
        <w:rPr>
          <w:color w:val="202020"/>
          <w:sz w:val="24"/>
          <w:szCs w:val="24"/>
          <w:shd w:val="clear" w:color="auto" w:fill="FFFFFF"/>
        </w:rPr>
        <w:t xml:space="preserve">indlasti </w:t>
      </w:r>
      <w:r w:rsidRPr="00677B4C">
        <w:rPr>
          <w:color w:val="202020"/>
          <w:sz w:val="24"/>
          <w:szCs w:val="24"/>
          <w:shd w:val="clear" w:color="auto" w:fill="FFFFFF"/>
        </w:rPr>
        <w:t>tuleb meeles pidada ka meetmete mõju inimese tervist mõjutavale õhukvaliteedile</w:t>
      </w:r>
      <w:r>
        <w:rPr>
          <w:color w:val="202020"/>
          <w:sz w:val="24"/>
          <w:szCs w:val="24"/>
          <w:shd w:val="clear" w:color="auto" w:fill="FFFFFF"/>
        </w:rPr>
        <w:t>.</w:t>
      </w:r>
    </w:p>
    <w:p w14:paraId="07183274" w14:textId="77777777" w:rsidR="00B731C3" w:rsidRDefault="00B731C3" w:rsidP="00B731C3">
      <w:pPr>
        <w:spacing w:after="0" w:line="240" w:lineRule="auto"/>
        <w:jc w:val="both"/>
        <w:rPr>
          <w:rFonts w:cstheme="minorHAnsi"/>
          <w:color w:val="202020"/>
          <w:sz w:val="24"/>
          <w:szCs w:val="24"/>
          <w:shd w:val="clear" w:color="auto" w:fill="FFFFFF"/>
        </w:rPr>
      </w:pPr>
    </w:p>
    <w:p w14:paraId="46543739" w14:textId="77777777" w:rsidR="00B731C3" w:rsidRDefault="00B731C3" w:rsidP="00B731C3">
      <w:pPr>
        <w:spacing w:after="0" w:line="240" w:lineRule="auto"/>
        <w:jc w:val="both"/>
        <w:rPr>
          <w:color w:val="202020"/>
          <w:sz w:val="24"/>
          <w:szCs w:val="24"/>
          <w:shd w:val="clear" w:color="auto" w:fill="FFFFFF"/>
        </w:rPr>
      </w:pPr>
      <w:r w:rsidRPr="718A8AAF">
        <w:rPr>
          <w:color w:val="202020"/>
          <w:sz w:val="24"/>
          <w:szCs w:val="24"/>
          <w:shd w:val="clear" w:color="auto" w:fill="FFFFFF"/>
        </w:rPr>
        <w:t xml:space="preserve">Teine </w:t>
      </w:r>
      <w:r>
        <w:rPr>
          <w:color w:val="202020"/>
          <w:sz w:val="24"/>
          <w:szCs w:val="24"/>
          <w:shd w:val="clear" w:color="auto" w:fill="FFFFFF"/>
        </w:rPr>
        <w:t xml:space="preserve">direktiivi </w:t>
      </w:r>
      <w:r w:rsidRPr="718A8AAF">
        <w:rPr>
          <w:color w:val="202020"/>
          <w:sz w:val="24"/>
          <w:szCs w:val="24"/>
          <w:shd w:val="clear" w:color="auto" w:fill="FFFFFF"/>
        </w:rPr>
        <w:t xml:space="preserve">suur eesmärk </w:t>
      </w:r>
      <w:r>
        <w:rPr>
          <w:color w:val="202020"/>
          <w:sz w:val="24"/>
          <w:szCs w:val="24"/>
          <w:shd w:val="clear" w:color="auto" w:fill="FFFFFF"/>
        </w:rPr>
        <w:t xml:space="preserve">on </w:t>
      </w:r>
      <w:r w:rsidRPr="718A8AAF">
        <w:rPr>
          <w:color w:val="202020"/>
          <w:sz w:val="24"/>
          <w:szCs w:val="24"/>
          <w:shd w:val="clear" w:color="auto" w:fill="FFFFFF"/>
        </w:rPr>
        <w:t>seada soovituslikud eesmärgid riikide primaarenergia ja lõppenergia tarbimisele ning kohtustulikud energiasäästu eesmärgid. Aastaks 2030 peaks Eesti primaarenergia eesmärk vähenema ~30% ehk 50 TWh-lt 36 TWh-le ning lõppenergia tarbimine vähenema 10,9% ehk 31,6 TWh-lt 29,4 TWh-le (referentsaasta on 2020). Kui energia tarbimised on soovituslikud, siis lõppkasutuse kumulatiivse energiasäästu 21</w:t>
      </w:r>
      <w:r>
        <w:rPr>
          <w:color w:val="202020"/>
          <w:sz w:val="24"/>
          <w:szCs w:val="24"/>
          <w:shd w:val="clear" w:color="auto" w:fill="FFFFFF"/>
        </w:rPr>
        <w:t>,</w:t>
      </w:r>
      <w:r w:rsidRPr="718A8AAF">
        <w:rPr>
          <w:color w:val="202020"/>
          <w:sz w:val="24"/>
          <w:szCs w:val="24"/>
          <w:shd w:val="clear" w:color="auto" w:fill="FFFFFF"/>
        </w:rPr>
        <w:t>28 TWh saavutamine aastaks 2030 on riiklik kohustus.</w:t>
      </w:r>
    </w:p>
    <w:p w14:paraId="27D7708E" w14:textId="77777777" w:rsidR="00B731C3" w:rsidRDefault="00B731C3" w:rsidP="00B731C3">
      <w:pPr>
        <w:spacing w:after="0" w:line="240" w:lineRule="auto"/>
        <w:jc w:val="both"/>
        <w:rPr>
          <w:rFonts w:cstheme="minorHAnsi"/>
          <w:color w:val="202020"/>
          <w:sz w:val="24"/>
          <w:szCs w:val="24"/>
          <w:shd w:val="clear" w:color="auto" w:fill="FFFFFF"/>
        </w:rPr>
      </w:pPr>
    </w:p>
    <w:p w14:paraId="0F05D22D" w14:textId="77777777" w:rsidR="00B731C3" w:rsidRDefault="00B731C3" w:rsidP="00B731C3">
      <w:pPr>
        <w:spacing w:after="0" w:line="240" w:lineRule="auto"/>
        <w:jc w:val="both"/>
        <w:rPr>
          <w:color w:val="202020"/>
          <w:sz w:val="24"/>
          <w:szCs w:val="24"/>
          <w:shd w:val="clear" w:color="auto" w:fill="FFFFFF"/>
        </w:rPr>
      </w:pPr>
      <w:r w:rsidRPr="718A8AAF">
        <w:rPr>
          <w:color w:val="202020"/>
          <w:sz w:val="24"/>
          <w:szCs w:val="24"/>
          <w:shd w:val="clear" w:color="auto" w:fill="FFFFFF"/>
        </w:rPr>
        <w:t>Energiatõhususe esikohale seadmise põhimõtte eestvedaja on avalik sektor (s</w:t>
      </w:r>
      <w:r>
        <w:rPr>
          <w:color w:val="202020"/>
          <w:sz w:val="24"/>
          <w:szCs w:val="24"/>
          <w:shd w:val="clear" w:color="auto" w:fill="FFFFFF"/>
        </w:rPr>
        <w:t>.</w:t>
      </w:r>
      <w:r w:rsidRPr="718A8AAF">
        <w:rPr>
          <w:color w:val="202020"/>
          <w:sz w:val="24"/>
          <w:szCs w:val="24"/>
          <w:shd w:val="clear" w:color="auto" w:fill="FFFFFF"/>
        </w:rPr>
        <w:t>o. keskvalitsus, kohalikud omavalitsused, aga ka nende hallatavad ja rahastatavad asutused, mis ei tegele tööstuse ega äritegevusega). Avaliku sektori asutustele tekib oma energiatarbimise (s</w:t>
      </w:r>
      <w:r>
        <w:rPr>
          <w:color w:val="202020"/>
          <w:sz w:val="24"/>
          <w:szCs w:val="24"/>
          <w:shd w:val="clear" w:color="auto" w:fill="FFFFFF"/>
        </w:rPr>
        <w:t>.</w:t>
      </w:r>
      <w:r w:rsidRPr="718A8AAF">
        <w:rPr>
          <w:color w:val="202020"/>
          <w:sz w:val="24"/>
          <w:szCs w:val="24"/>
          <w:shd w:val="clear" w:color="auto" w:fill="FFFFFF"/>
        </w:rPr>
        <w:t>o elekter, soojus, gaas, transport) kokkuhoiu kohustus – 1,9% 2021</w:t>
      </w:r>
      <w:r>
        <w:rPr>
          <w:color w:val="202020"/>
          <w:sz w:val="24"/>
          <w:szCs w:val="24"/>
          <w:shd w:val="clear" w:color="auto" w:fill="FFFFFF"/>
        </w:rPr>
        <w:t>.</w:t>
      </w:r>
      <w:r w:rsidRPr="718A8AAF">
        <w:rPr>
          <w:color w:val="202020"/>
          <w:sz w:val="24"/>
          <w:szCs w:val="24"/>
          <w:shd w:val="clear" w:color="auto" w:fill="FFFFFF"/>
        </w:rPr>
        <w:t xml:space="preserve"> aasta tarbimisest igal aastal. Kui </w:t>
      </w:r>
      <w:r>
        <w:rPr>
          <w:color w:val="202020"/>
          <w:sz w:val="24"/>
          <w:szCs w:val="24"/>
          <w:shd w:val="clear" w:color="auto" w:fill="FFFFFF"/>
        </w:rPr>
        <w:t>praegu</w:t>
      </w:r>
      <w:r w:rsidRPr="718A8AAF">
        <w:rPr>
          <w:color w:val="202020"/>
          <w:sz w:val="24"/>
          <w:szCs w:val="24"/>
          <w:shd w:val="clear" w:color="auto" w:fill="FFFFFF"/>
        </w:rPr>
        <w:t xml:space="preserve"> on keskvalitsusel kohustus igal aastal rekonstrueerida tema omandis oleva</w:t>
      </w:r>
      <w:r>
        <w:rPr>
          <w:color w:val="202020"/>
          <w:sz w:val="24"/>
          <w:szCs w:val="24"/>
          <w:shd w:val="clear" w:color="auto" w:fill="FFFFFF"/>
        </w:rPr>
        <w:t>te</w:t>
      </w:r>
      <w:r w:rsidRPr="718A8AAF">
        <w:rPr>
          <w:color w:val="202020"/>
          <w:sz w:val="24"/>
          <w:szCs w:val="24"/>
          <w:shd w:val="clear" w:color="auto" w:fill="FFFFFF"/>
        </w:rPr>
        <w:t xml:space="preserve"> hoonete pinnast 3% energiatõhususe miinimumnõuetele</w:t>
      </w:r>
      <w:r>
        <w:rPr>
          <w:color w:val="202020"/>
          <w:sz w:val="24"/>
          <w:szCs w:val="24"/>
          <w:shd w:val="clear" w:color="auto" w:fill="FFFFFF"/>
        </w:rPr>
        <w:t xml:space="preserve"> vastavaks</w:t>
      </w:r>
      <w:r w:rsidRPr="718A8AAF">
        <w:rPr>
          <w:color w:val="202020"/>
          <w:sz w:val="24"/>
          <w:szCs w:val="24"/>
          <w:shd w:val="clear" w:color="auto" w:fill="FFFFFF"/>
        </w:rPr>
        <w:t>, siis</w:t>
      </w:r>
      <w:r>
        <w:rPr>
          <w:color w:val="202020"/>
          <w:sz w:val="24"/>
          <w:szCs w:val="24"/>
          <w:shd w:val="clear" w:color="auto" w:fill="FFFFFF"/>
        </w:rPr>
        <w:t xml:space="preserve"> alates 11.10.2025</w:t>
      </w:r>
      <w:r w:rsidRPr="718A8AAF">
        <w:rPr>
          <w:color w:val="202020"/>
          <w:sz w:val="24"/>
          <w:szCs w:val="24"/>
          <w:shd w:val="clear" w:color="auto" w:fill="FFFFFF"/>
        </w:rPr>
        <w:t xml:space="preserve"> laieneb see ka kohalikele omavalitsutele ning teistele avaliku sektori asutustele. </w:t>
      </w:r>
      <w:r>
        <w:rPr>
          <w:color w:val="202020"/>
          <w:sz w:val="24"/>
          <w:szCs w:val="24"/>
          <w:shd w:val="clear" w:color="auto" w:fill="FFFFFF"/>
        </w:rPr>
        <w:t>Rekonstrueerimise iga-aastane eesmärk (</w:t>
      </w:r>
      <w:r w:rsidRPr="006F757C">
        <w:rPr>
          <w:color w:val="202020"/>
          <w:sz w:val="24"/>
          <w:szCs w:val="24"/>
          <w:shd w:val="clear" w:color="auto" w:fill="FFFFFF"/>
        </w:rPr>
        <w:t>m</w:t>
      </w:r>
      <w:r>
        <w:rPr>
          <w:color w:val="202020"/>
          <w:sz w:val="24"/>
          <w:szCs w:val="24"/>
          <w:shd w:val="clear" w:color="auto" w:fill="FFFFFF"/>
          <w:vertAlign w:val="superscript"/>
        </w:rPr>
        <w:t>2</w:t>
      </w:r>
      <w:r>
        <w:rPr>
          <w:color w:val="202020"/>
          <w:sz w:val="24"/>
          <w:szCs w:val="24"/>
          <w:shd w:val="clear" w:color="auto" w:fill="FFFFFF"/>
        </w:rPr>
        <w:t xml:space="preserve">) arvutatakse </w:t>
      </w:r>
      <w:r w:rsidRPr="718A8AAF">
        <w:rPr>
          <w:color w:val="202020"/>
          <w:sz w:val="24"/>
          <w:szCs w:val="24"/>
          <w:shd w:val="clear" w:color="auto" w:fill="FFFFFF"/>
        </w:rPr>
        <w:t>01.01.2024 aasta</w:t>
      </w:r>
      <w:r>
        <w:rPr>
          <w:color w:val="202020"/>
          <w:sz w:val="24"/>
          <w:szCs w:val="24"/>
          <w:shd w:val="clear" w:color="auto" w:fill="FFFFFF"/>
        </w:rPr>
        <w:t xml:space="preserve"> avaliku sektori asutuste hoonete seisukorra põhjal</w:t>
      </w:r>
      <w:r w:rsidRPr="002A5606">
        <w:rPr>
          <w:color w:val="202020"/>
          <w:sz w:val="24"/>
          <w:szCs w:val="24"/>
          <w:shd w:val="clear" w:color="auto" w:fill="FFFFFF"/>
        </w:rPr>
        <w:t xml:space="preserve">. </w:t>
      </w:r>
      <w:r w:rsidRPr="001D113D">
        <w:rPr>
          <w:sz w:val="24"/>
          <w:szCs w:val="24"/>
          <w:shd w:val="clear" w:color="auto" w:fill="FFFFFF"/>
        </w:rPr>
        <w:t>Täpsem mõjude analüüs on punktis 5.2.</w:t>
      </w:r>
    </w:p>
    <w:p w14:paraId="6D5CD2F9" w14:textId="77777777" w:rsidR="00B731C3" w:rsidRDefault="00B731C3" w:rsidP="00B731C3">
      <w:pPr>
        <w:spacing w:after="0" w:line="240" w:lineRule="auto"/>
        <w:jc w:val="both"/>
        <w:rPr>
          <w:rFonts w:cstheme="minorHAnsi"/>
          <w:color w:val="202020"/>
          <w:sz w:val="24"/>
          <w:szCs w:val="24"/>
          <w:shd w:val="clear" w:color="auto" w:fill="FFFFFF"/>
        </w:rPr>
      </w:pPr>
    </w:p>
    <w:p w14:paraId="1D16975D" w14:textId="77777777" w:rsidR="00B731C3" w:rsidRDefault="00B731C3" w:rsidP="00B731C3">
      <w:pPr>
        <w:spacing w:after="0" w:line="240" w:lineRule="auto"/>
        <w:jc w:val="both"/>
        <w:rPr>
          <w:color w:val="202020"/>
          <w:sz w:val="24"/>
          <w:szCs w:val="24"/>
          <w:shd w:val="clear" w:color="auto" w:fill="FFFFFF"/>
        </w:rPr>
      </w:pPr>
      <w:r w:rsidRPr="194ACA84">
        <w:rPr>
          <w:color w:val="202020"/>
          <w:sz w:val="24"/>
          <w:szCs w:val="24"/>
          <w:shd w:val="clear" w:color="auto" w:fill="FFFFFF"/>
        </w:rPr>
        <w:lastRenderedPageBreak/>
        <w:t xml:space="preserve">Eraldi </w:t>
      </w:r>
      <w:r w:rsidRPr="6BB42FF2">
        <w:rPr>
          <w:color w:val="202020"/>
          <w:sz w:val="24"/>
          <w:szCs w:val="24"/>
        </w:rPr>
        <w:t xml:space="preserve">keskendub </w:t>
      </w:r>
      <w:r w:rsidRPr="194ACA84">
        <w:rPr>
          <w:color w:val="202020"/>
          <w:sz w:val="24"/>
          <w:szCs w:val="24"/>
          <w:shd w:val="clear" w:color="auto" w:fill="FFFFFF"/>
        </w:rPr>
        <w:t>direktiiv</w:t>
      </w:r>
      <w:r>
        <w:rPr>
          <w:color w:val="202020"/>
          <w:sz w:val="24"/>
          <w:szCs w:val="24"/>
          <w:shd w:val="clear" w:color="auto" w:fill="FFFFFF"/>
        </w:rPr>
        <w:t xml:space="preserve"> </w:t>
      </w:r>
      <w:r w:rsidRPr="6BB42FF2">
        <w:rPr>
          <w:color w:val="202020"/>
          <w:sz w:val="24"/>
          <w:szCs w:val="24"/>
        </w:rPr>
        <w:t xml:space="preserve">energiaostuvõimetule või </w:t>
      </w:r>
      <w:r w:rsidRPr="194ACA84">
        <w:rPr>
          <w:color w:val="202020"/>
          <w:sz w:val="24"/>
          <w:szCs w:val="24"/>
          <w:shd w:val="clear" w:color="auto" w:fill="FFFFFF"/>
        </w:rPr>
        <w:t xml:space="preserve">energiaostuvõimetuse riskirühmas </w:t>
      </w:r>
      <w:r w:rsidRPr="27E28A86">
        <w:rPr>
          <w:color w:val="202020"/>
          <w:sz w:val="24"/>
          <w:szCs w:val="24"/>
          <w:shd w:val="clear" w:color="auto" w:fill="FFFFFF"/>
        </w:rPr>
        <w:t>oleva</w:t>
      </w:r>
      <w:r w:rsidRPr="6BB42FF2">
        <w:rPr>
          <w:color w:val="202020"/>
          <w:sz w:val="24"/>
          <w:szCs w:val="24"/>
        </w:rPr>
        <w:t>tele</w:t>
      </w:r>
      <w:r w:rsidRPr="27E28A86">
        <w:rPr>
          <w:color w:val="202020"/>
          <w:sz w:val="24"/>
          <w:szCs w:val="24"/>
          <w:shd w:val="clear" w:color="auto" w:fill="FFFFFF"/>
        </w:rPr>
        <w:t xml:space="preserve"> isiku</w:t>
      </w:r>
      <w:r w:rsidRPr="6BB42FF2">
        <w:rPr>
          <w:color w:val="202020"/>
          <w:sz w:val="24"/>
          <w:szCs w:val="24"/>
        </w:rPr>
        <w:t>tele ja</w:t>
      </w:r>
      <w:r w:rsidRPr="194ACA84">
        <w:rPr>
          <w:color w:val="202020"/>
          <w:sz w:val="24"/>
          <w:szCs w:val="24"/>
          <w:shd w:val="clear" w:color="auto" w:fill="FFFFFF"/>
        </w:rPr>
        <w:t xml:space="preserve"> vähekaitstud </w:t>
      </w:r>
      <w:r w:rsidRPr="25491668">
        <w:rPr>
          <w:color w:val="202020"/>
          <w:sz w:val="24"/>
          <w:szCs w:val="24"/>
          <w:shd w:val="clear" w:color="auto" w:fill="FFFFFF"/>
        </w:rPr>
        <w:t>tarbija</w:t>
      </w:r>
      <w:r w:rsidRPr="7DD5F6E3">
        <w:rPr>
          <w:color w:val="202020"/>
          <w:sz w:val="24"/>
          <w:szCs w:val="24"/>
        </w:rPr>
        <w:t>tele</w:t>
      </w:r>
      <w:r w:rsidRPr="194ACA84">
        <w:rPr>
          <w:color w:val="202020"/>
          <w:sz w:val="24"/>
          <w:szCs w:val="24"/>
          <w:shd w:val="clear" w:color="auto" w:fill="FFFFFF"/>
        </w:rPr>
        <w:t xml:space="preserve">, sealhulgas </w:t>
      </w:r>
      <w:r w:rsidRPr="25491668">
        <w:rPr>
          <w:color w:val="202020"/>
          <w:sz w:val="24"/>
          <w:szCs w:val="24"/>
          <w:shd w:val="clear" w:color="auto" w:fill="FFFFFF"/>
        </w:rPr>
        <w:t>lõppkasutaja</w:t>
      </w:r>
      <w:r w:rsidRPr="7DD5F6E3">
        <w:rPr>
          <w:color w:val="202020"/>
          <w:sz w:val="24"/>
          <w:szCs w:val="24"/>
        </w:rPr>
        <w:t>tele</w:t>
      </w:r>
      <w:r w:rsidRPr="194ACA84">
        <w:rPr>
          <w:color w:val="202020"/>
          <w:sz w:val="24"/>
          <w:szCs w:val="24"/>
          <w:shd w:val="clear" w:color="auto" w:fill="FFFFFF"/>
        </w:rPr>
        <w:t xml:space="preserve">, madala ja keskmise sissetulekuga </w:t>
      </w:r>
      <w:r w:rsidRPr="25491668">
        <w:rPr>
          <w:color w:val="202020"/>
          <w:sz w:val="24"/>
          <w:szCs w:val="24"/>
          <w:shd w:val="clear" w:color="auto" w:fill="FFFFFF"/>
        </w:rPr>
        <w:t>leibkon</w:t>
      </w:r>
      <w:r w:rsidRPr="7DD5F6E3">
        <w:rPr>
          <w:color w:val="202020"/>
          <w:sz w:val="24"/>
          <w:szCs w:val="24"/>
        </w:rPr>
        <w:t>dadele</w:t>
      </w:r>
      <w:r w:rsidRPr="194ACA84">
        <w:rPr>
          <w:color w:val="202020"/>
          <w:sz w:val="24"/>
          <w:szCs w:val="24"/>
          <w:shd w:val="clear" w:color="auto" w:fill="FFFFFF"/>
        </w:rPr>
        <w:t xml:space="preserve"> ning sotsiaaleluruumides </w:t>
      </w:r>
      <w:r w:rsidRPr="25491668">
        <w:rPr>
          <w:color w:val="202020"/>
          <w:sz w:val="24"/>
          <w:szCs w:val="24"/>
          <w:shd w:val="clear" w:color="auto" w:fill="FFFFFF"/>
        </w:rPr>
        <w:t>elava</w:t>
      </w:r>
      <w:r w:rsidRPr="7DD5F6E3">
        <w:rPr>
          <w:color w:val="202020"/>
          <w:sz w:val="24"/>
          <w:szCs w:val="24"/>
        </w:rPr>
        <w:t>tele</w:t>
      </w:r>
      <w:r w:rsidRPr="194ACA84">
        <w:rPr>
          <w:color w:val="202020"/>
          <w:sz w:val="24"/>
          <w:szCs w:val="24"/>
          <w:shd w:val="clear" w:color="auto" w:fill="FFFFFF"/>
        </w:rPr>
        <w:t xml:space="preserve"> </w:t>
      </w:r>
      <w:r w:rsidRPr="25491668">
        <w:rPr>
          <w:color w:val="202020"/>
          <w:sz w:val="24"/>
          <w:szCs w:val="24"/>
          <w:shd w:val="clear" w:color="auto" w:fill="FFFFFF"/>
        </w:rPr>
        <w:t>isiku</w:t>
      </w:r>
      <w:r w:rsidRPr="7DD5F6E3">
        <w:rPr>
          <w:color w:val="202020"/>
          <w:sz w:val="24"/>
          <w:szCs w:val="24"/>
        </w:rPr>
        <w:t>tele</w:t>
      </w:r>
      <w:r w:rsidRPr="25491668">
        <w:rPr>
          <w:color w:val="202020"/>
          <w:sz w:val="24"/>
          <w:szCs w:val="24"/>
          <w:shd w:val="clear" w:color="auto" w:fill="FFFFFF"/>
        </w:rPr>
        <w:t>.</w:t>
      </w:r>
      <w:r w:rsidRPr="194ACA84">
        <w:rPr>
          <w:color w:val="202020"/>
          <w:sz w:val="24"/>
          <w:szCs w:val="24"/>
          <w:shd w:val="clear" w:color="auto" w:fill="FFFFFF"/>
        </w:rPr>
        <w:t xml:space="preserve"> Energiatõhususe lahendusi tule</w:t>
      </w:r>
      <w:r>
        <w:rPr>
          <w:color w:val="202020"/>
          <w:sz w:val="24"/>
          <w:szCs w:val="24"/>
          <w:shd w:val="clear" w:color="auto" w:fill="FFFFFF"/>
        </w:rPr>
        <w:t>b</w:t>
      </w:r>
      <w:r w:rsidRPr="194ACA84">
        <w:rPr>
          <w:color w:val="202020"/>
          <w:sz w:val="24"/>
          <w:szCs w:val="24"/>
          <w:shd w:val="clear" w:color="auto" w:fill="FFFFFF"/>
        </w:rPr>
        <w:t xml:space="preserve"> rakendada esmajärjekorras nende üksikisikute ja leibkondade olukorra parandamiseks ja energiaostuvõimetuse leevendamiseks ning need ei tohi soodustada eluaseme-, liikuvus- või energiakulude ebaproportsionaalset suurenemist. Terviklik lähenemisviis poliitika kujundamisele ja</w:t>
      </w:r>
      <w:r>
        <w:rPr>
          <w:color w:val="202020"/>
          <w:sz w:val="24"/>
          <w:szCs w:val="24"/>
          <w:shd w:val="clear" w:color="auto" w:fill="FFFFFF"/>
        </w:rPr>
        <w:t xml:space="preserve"> </w:t>
      </w:r>
      <w:r w:rsidRPr="194ACA84">
        <w:rPr>
          <w:color w:val="202020"/>
          <w:sz w:val="24"/>
          <w:szCs w:val="24"/>
          <w:shd w:val="clear" w:color="auto" w:fill="FFFFFF"/>
        </w:rPr>
        <w:t>meetmete rakendamisele nõuab, et liikmesriigid tagaksid, et muud poliitikad ja meetmed ei avaldaks neile üksikisikutele ja leibkondadele kahjulikku mõju.</w:t>
      </w:r>
    </w:p>
    <w:p w14:paraId="06B99CD6" w14:textId="77777777" w:rsidR="00B731C3" w:rsidRPr="00DB4996" w:rsidRDefault="00B731C3" w:rsidP="00B731C3">
      <w:pPr>
        <w:spacing w:after="0" w:line="240" w:lineRule="auto"/>
        <w:jc w:val="both"/>
        <w:rPr>
          <w:rFonts w:cstheme="minorHAnsi"/>
          <w:color w:val="202020"/>
          <w:sz w:val="24"/>
          <w:szCs w:val="24"/>
          <w:shd w:val="clear" w:color="auto" w:fill="FFFFFF"/>
        </w:rPr>
      </w:pPr>
    </w:p>
    <w:p w14:paraId="19C26D40" w14:textId="77777777" w:rsidR="00B731C3" w:rsidRDefault="00B731C3" w:rsidP="00B731C3">
      <w:pPr>
        <w:spacing w:after="0" w:line="240" w:lineRule="auto"/>
        <w:jc w:val="both"/>
        <w:rPr>
          <w:rFonts w:eastAsia="Calibri" w:cstheme="minorHAnsi"/>
          <w:b/>
          <w:bCs/>
          <w:sz w:val="24"/>
          <w:szCs w:val="24"/>
        </w:rPr>
      </w:pPr>
      <w:r w:rsidRPr="00DB4996">
        <w:rPr>
          <w:rFonts w:eastAsia="Calibri" w:cstheme="minorHAnsi"/>
          <w:b/>
          <w:bCs/>
          <w:sz w:val="24"/>
          <w:szCs w:val="24"/>
        </w:rPr>
        <w:t>1.2</w:t>
      </w:r>
      <w:r>
        <w:rPr>
          <w:rFonts w:eastAsia="Calibri" w:cstheme="minorHAnsi"/>
          <w:b/>
          <w:bCs/>
          <w:sz w:val="24"/>
          <w:szCs w:val="24"/>
        </w:rPr>
        <w:t>.</w:t>
      </w:r>
      <w:r w:rsidRPr="00DB4996">
        <w:rPr>
          <w:rFonts w:eastAsia="Calibri" w:cstheme="minorHAnsi"/>
          <w:b/>
          <w:bCs/>
          <w:sz w:val="24"/>
          <w:szCs w:val="24"/>
        </w:rPr>
        <w:t xml:space="preserve"> Eelnõu ettevalmistaja</w:t>
      </w:r>
    </w:p>
    <w:p w14:paraId="52E5E9DE" w14:textId="77777777" w:rsidR="00B731C3" w:rsidRPr="00DB4996" w:rsidRDefault="00B731C3" w:rsidP="00B731C3">
      <w:pPr>
        <w:spacing w:after="0" w:line="240" w:lineRule="auto"/>
        <w:jc w:val="both"/>
        <w:rPr>
          <w:rFonts w:eastAsia="Calibri" w:cstheme="minorHAnsi"/>
          <w:b/>
          <w:bCs/>
          <w:sz w:val="24"/>
          <w:szCs w:val="24"/>
        </w:rPr>
      </w:pPr>
    </w:p>
    <w:p w14:paraId="5949DDA3" w14:textId="77777777" w:rsidR="00B731C3" w:rsidRPr="00AE272A" w:rsidRDefault="00B731C3" w:rsidP="00B731C3">
      <w:pPr>
        <w:spacing w:after="0" w:line="240" w:lineRule="auto"/>
        <w:jc w:val="both"/>
        <w:rPr>
          <w:rFonts w:ascii="Times New Roman" w:hAnsi="Times New Roman" w:cs="Times New Roman"/>
          <w:sz w:val="24"/>
          <w:szCs w:val="24"/>
        </w:rPr>
      </w:pPr>
      <w:r w:rsidRPr="0070694A">
        <w:rPr>
          <w:rFonts w:ascii="Times New Roman" w:hAnsi="Times New Roman" w:cs="Times New Roman"/>
          <w:sz w:val="24"/>
          <w:szCs w:val="24"/>
        </w:rPr>
        <w:t xml:space="preserve">Eelnõu ja seletuskirja </w:t>
      </w:r>
      <w:r>
        <w:rPr>
          <w:rFonts w:ascii="Times New Roman" w:hAnsi="Times New Roman" w:cs="Times New Roman"/>
          <w:sz w:val="24"/>
          <w:szCs w:val="24"/>
        </w:rPr>
        <w:t>koostasid</w:t>
      </w:r>
      <w:r w:rsidRPr="0070694A">
        <w:rPr>
          <w:rFonts w:ascii="Times New Roman" w:hAnsi="Times New Roman" w:cs="Times New Roman"/>
          <w:sz w:val="24"/>
          <w:szCs w:val="24"/>
        </w:rPr>
        <w:t xml:space="preserve"> Kliimaministeeriumi </w:t>
      </w:r>
      <w:r>
        <w:rPr>
          <w:rFonts w:ascii="Times New Roman" w:hAnsi="Times New Roman" w:cs="Times New Roman"/>
          <w:sz w:val="24"/>
          <w:szCs w:val="24"/>
        </w:rPr>
        <w:t>ringmajanduse osakonna energia- ja ressursitõhususe valdkonna juht Riina Tamm (</w:t>
      </w:r>
      <w:r w:rsidRPr="00AA41C1">
        <w:rPr>
          <w:rFonts w:ascii="Times New Roman" w:hAnsi="Times New Roman" w:cs="Times New Roman"/>
          <w:sz w:val="24"/>
          <w:szCs w:val="24"/>
        </w:rPr>
        <w:t>626 8918</w:t>
      </w:r>
      <w:r>
        <w:rPr>
          <w:rFonts w:ascii="Times New Roman" w:hAnsi="Times New Roman" w:cs="Times New Roman"/>
          <w:sz w:val="24"/>
          <w:szCs w:val="24"/>
        </w:rPr>
        <w:t xml:space="preserve">, </w:t>
      </w:r>
      <w:hyperlink r:id="rId9" w:history="1">
        <w:r w:rsidRPr="003F3A0E">
          <w:rPr>
            <w:rStyle w:val="Hperlink"/>
            <w:rFonts w:ascii="Times New Roman" w:hAnsi="Times New Roman" w:cs="Times New Roman"/>
            <w:sz w:val="24"/>
            <w:szCs w:val="24"/>
          </w:rPr>
          <w:t>riina.tamm@kliimaministeerium.ee</w:t>
        </w:r>
      </w:hyperlink>
      <w:r>
        <w:rPr>
          <w:rFonts w:ascii="Times New Roman" w:hAnsi="Times New Roman" w:cs="Times New Roman"/>
          <w:sz w:val="24"/>
          <w:szCs w:val="24"/>
        </w:rPr>
        <w:t xml:space="preserve">), energeetikaosakonna </w:t>
      </w:r>
      <w:r w:rsidRPr="00CD7FB5">
        <w:rPr>
          <w:rFonts w:ascii="Times New Roman" w:hAnsi="Times New Roman" w:cs="Times New Roman"/>
          <w:sz w:val="24"/>
          <w:szCs w:val="24"/>
        </w:rPr>
        <w:t>soojus- ja jahutusmajanduse ekspert</w:t>
      </w:r>
      <w:r>
        <w:rPr>
          <w:rFonts w:ascii="Times New Roman" w:hAnsi="Times New Roman" w:cs="Times New Roman"/>
          <w:sz w:val="24"/>
          <w:szCs w:val="24"/>
        </w:rPr>
        <w:t xml:space="preserve"> Aleks Mark (</w:t>
      </w:r>
      <w:r w:rsidRPr="009A0DE7">
        <w:rPr>
          <w:rFonts w:ascii="Times New Roman" w:hAnsi="Times New Roman" w:cs="Times New Roman"/>
          <w:sz w:val="24"/>
          <w:szCs w:val="24"/>
        </w:rPr>
        <w:t>627 2388</w:t>
      </w:r>
      <w:r>
        <w:rPr>
          <w:rFonts w:ascii="Times New Roman" w:hAnsi="Times New Roman" w:cs="Times New Roman"/>
          <w:sz w:val="24"/>
          <w:szCs w:val="24"/>
        </w:rPr>
        <w:t xml:space="preserve">, </w:t>
      </w:r>
      <w:hyperlink r:id="rId10" w:history="1">
        <w:r w:rsidRPr="003F3A0E">
          <w:rPr>
            <w:rStyle w:val="Hperlink"/>
          </w:rPr>
          <w:t>aleks.mark@kliimaministeerium.ee</w:t>
        </w:r>
      </w:hyperlink>
      <w:r>
        <w:rPr>
          <w:rFonts w:ascii="Times New Roman" w:hAnsi="Times New Roman" w:cs="Times New Roman"/>
          <w:sz w:val="24"/>
          <w:szCs w:val="24"/>
        </w:rPr>
        <w:t xml:space="preserve">), energiavõrkude ekspert </w:t>
      </w:r>
      <w:r w:rsidRPr="00AE272A">
        <w:rPr>
          <w:rFonts w:ascii="Times New Roman" w:hAnsi="Times New Roman" w:cs="Times New Roman"/>
          <w:sz w:val="24"/>
          <w:szCs w:val="24"/>
        </w:rPr>
        <w:t>Thérèse Liis Kilk</w:t>
      </w:r>
      <w:r>
        <w:rPr>
          <w:rFonts w:ascii="Times New Roman" w:hAnsi="Times New Roman" w:cs="Times New Roman"/>
          <w:sz w:val="24"/>
          <w:szCs w:val="24"/>
        </w:rPr>
        <w:t xml:space="preserve"> (</w:t>
      </w:r>
      <w:r w:rsidRPr="00AE272A">
        <w:rPr>
          <w:rFonts w:ascii="Times New Roman" w:hAnsi="Times New Roman" w:cs="Times New Roman"/>
          <w:sz w:val="24"/>
          <w:szCs w:val="24"/>
        </w:rPr>
        <w:t>625 6493</w:t>
      </w:r>
      <w:r>
        <w:rPr>
          <w:rFonts w:ascii="Times New Roman" w:hAnsi="Times New Roman" w:cs="Times New Roman"/>
          <w:sz w:val="24"/>
          <w:szCs w:val="24"/>
        </w:rPr>
        <w:t xml:space="preserve">, </w:t>
      </w:r>
      <w:hyperlink r:id="rId11" w:history="1">
        <w:r w:rsidRPr="003F3A0E">
          <w:rPr>
            <w:rStyle w:val="Hperlink"/>
            <w:rFonts w:ascii="Times New Roman" w:hAnsi="Times New Roman" w:cs="Times New Roman"/>
            <w:sz w:val="24"/>
            <w:szCs w:val="24"/>
          </w:rPr>
          <w:t>liis.kilk@kliimaministeerium.ee</w:t>
        </w:r>
      </w:hyperlink>
      <w:r>
        <w:rPr>
          <w:rFonts w:ascii="Times New Roman" w:hAnsi="Times New Roman" w:cs="Times New Roman"/>
          <w:sz w:val="24"/>
          <w:szCs w:val="24"/>
        </w:rPr>
        <w:t xml:space="preserve">) ja nõunik </w:t>
      </w:r>
      <w:r w:rsidRPr="005320DD">
        <w:rPr>
          <w:rFonts w:ascii="Times New Roman" w:hAnsi="Times New Roman" w:cs="Times New Roman"/>
          <w:sz w:val="24"/>
          <w:szCs w:val="24"/>
        </w:rPr>
        <w:t>Anastassia Batulin</w:t>
      </w:r>
      <w:r>
        <w:rPr>
          <w:rFonts w:ascii="Times New Roman" w:hAnsi="Times New Roman" w:cs="Times New Roman"/>
          <w:sz w:val="24"/>
          <w:szCs w:val="24"/>
        </w:rPr>
        <w:t xml:space="preserve"> (</w:t>
      </w:r>
      <w:r w:rsidRPr="00795986">
        <w:rPr>
          <w:rFonts w:ascii="Times New Roman" w:hAnsi="Times New Roman" w:cs="Times New Roman"/>
          <w:sz w:val="24"/>
          <w:szCs w:val="24"/>
        </w:rPr>
        <w:t>625 6359</w:t>
      </w:r>
      <w:r>
        <w:rPr>
          <w:rFonts w:ascii="Times New Roman" w:hAnsi="Times New Roman" w:cs="Times New Roman"/>
          <w:sz w:val="24"/>
          <w:szCs w:val="24"/>
        </w:rPr>
        <w:t xml:space="preserve">, </w:t>
      </w:r>
      <w:hyperlink r:id="rId12" w:history="1">
        <w:r w:rsidRPr="003F3A0E">
          <w:rPr>
            <w:rStyle w:val="Hperlink"/>
            <w:rFonts w:ascii="Times New Roman" w:hAnsi="Times New Roman" w:cs="Times New Roman"/>
            <w:sz w:val="24"/>
            <w:szCs w:val="24"/>
          </w:rPr>
          <w:t>anastassia.batulin@kliimaministeerium.ee</w:t>
        </w:r>
      </w:hyperlink>
      <w:r>
        <w:rPr>
          <w:rFonts w:ascii="Times New Roman" w:hAnsi="Times New Roman" w:cs="Times New Roman"/>
          <w:sz w:val="24"/>
          <w:szCs w:val="24"/>
        </w:rPr>
        <w:t xml:space="preserve">).  </w:t>
      </w:r>
    </w:p>
    <w:p w14:paraId="01C896F4" w14:textId="77777777" w:rsidR="00B731C3" w:rsidRPr="00AE272A" w:rsidRDefault="00B731C3" w:rsidP="00B731C3">
      <w:pPr>
        <w:spacing w:after="0" w:line="240" w:lineRule="auto"/>
        <w:jc w:val="both"/>
        <w:rPr>
          <w:rFonts w:ascii="Times New Roman" w:hAnsi="Times New Roman" w:cs="Times New Roman"/>
          <w:sz w:val="24"/>
          <w:szCs w:val="24"/>
        </w:rPr>
      </w:pPr>
    </w:p>
    <w:p w14:paraId="0753AEDD" w14:textId="77777777" w:rsidR="00B731C3" w:rsidRDefault="00B731C3" w:rsidP="00B731C3">
      <w:pPr>
        <w:spacing w:after="0" w:line="240" w:lineRule="auto"/>
        <w:jc w:val="both"/>
        <w:rPr>
          <w:rFonts w:ascii="Times New Roman" w:hAnsi="Times New Roman" w:cs="Times New Roman"/>
          <w:sz w:val="24"/>
          <w:szCs w:val="24"/>
        </w:rPr>
      </w:pPr>
      <w:r w:rsidRPr="5FADDD51">
        <w:rPr>
          <w:rFonts w:ascii="Times New Roman" w:hAnsi="Times New Roman" w:cs="Times New Roman"/>
          <w:sz w:val="24"/>
          <w:szCs w:val="24"/>
        </w:rPr>
        <w:t xml:space="preserve">Keeletoimetuse tegi Justiits- ja Digiministeeriumi õigusloome korralduse talituse </w:t>
      </w:r>
      <w:r w:rsidRPr="00595121">
        <w:rPr>
          <w:rFonts w:ascii="Times New Roman" w:hAnsi="Times New Roman" w:cs="Times New Roman"/>
          <w:sz w:val="24"/>
          <w:szCs w:val="24"/>
        </w:rPr>
        <w:t>keeletoimetaja Aili Sandre (aili.sandre@justdigi.ee),</w:t>
      </w:r>
      <w:r w:rsidRPr="5FADDD51">
        <w:rPr>
          <w:rFonts w:ascii="Times New Roman" w:hAnsi="Times New Roman" w:cs="Times New Roman"/>
          <w:sz w:val="24"/>
          <w:szCs w:val="24"/>
        </w:rPr>
        <w:t xml:space="preserve"> õigusekspertiisi tegid Kliimaministeeriumi õigusosakonna nõunikud Anna-Liisa Kotsjuba (teenistussuhe lõppenud) ja  Käthlin Oeselg (</w:t>
      </w:r>
      <w:hyperlink r:id="rId13">
        <w:r w:rsidRPr="5FADDD51">
          <w:rPr>
            <w:rStyle w:val="Hperlink"/>
            <w:rFonts w:ascii="Times New Roman" w:hAnsi="Times New Roman" w:cs="Times New Roman"/>
            <w:sz w:val="24"/>
            <w:szCs w:val="24"/>
          </w:rPr>
          <w:t>Kathlin.Oeselg@kliimaministeerium.ee</w:t>
        </w:r>
      </w:hyperlink>
      <w:r w:rsidRPr="5FADDD51">
        <w:rPr>
          <w:rFonts w:ascii="Times New Roman" w:hAnsi="Times New Roman" w:cs="Times New Roman"/>
          <w:sz w:val="24"/>
          <w:szCs w:val="24"/>
        </w:rPr>
        <w:t>).</w:t>
      </w:r>
    </w:p>
    <w:p w14:paraId="30680BD0" w14:textId="77777777" w:rsidR="00B731C3" w:rsidRDefault="00B731C3" w:rsidP="00B731C3">
      <w:pPr>
        <w:spacing w:after="0" w:line="240" w:lineRule="auto"/>
        <w:jc w:val="both"/>
        <w:rPr>
          <w:rFonts w:eastAsia="Calibri" w:cstheme="minorHAnsi"/>
          <w:b/>
          <w:bCs/>
          <w:sz w:val="24"/>
          <w:szCs w:val="24"/>
          <w:lang w:eastAsia="et-EE"/>
        </w:rPr>
      </w:pPr>
    </w:p>
    <w:p w14:paraId="2299E586" w14:textId="77777777" w:rsidR="00B731C3" w:rsidRDefault="00B731C3" w:rsidP="00B731C3">
      <w:pPr>
        <w:spacing w:after="0" w:line="240" w:lineRule="auto"/>
        <w:jc w:val="both"/>
        <w:rPr>
          <w:rFonts w:eastAsia="Calibri" w:cstheme="minorHAnsi"/>
          <w:b/>
          <w:bCs/>
          <w:sz w:val="24"/>
          <w:szCs w:val="24"/>
          <w:lang w:eastAsia="et-EE"/>
        </w:rPr>
      </w:pPr>
      <w:r w:rsidRPr="00DB4996">
        <w:rPr>
          <w:rFonts w:eastAsia="Calibri" w:cstheme="minorHAnsi"/>
          <w:b/>
          <w:bCs/>
          <w:sz w:val="24"/>
          <w:szCs w:val="24"/>
          <w:lang w:eastAsia="et-EE"/>
        </w:rPr>
        <w:t>1.3</w:t>
      </w:r>
      <w:r>
        <w:rPr>
          <w:rFonts w:eastAsia="Calibri" w:cstheme="minorHAnsi"/>
          <w:b/>
          <w:bCs/>
          <w:sz w:val="24"/>
          <w:szCs w:val="24"/>
          <w:lang w:eastAsia="et-EE"/>
        </w:rPr>
        <w:t>.</w:t>
      </w:r>
      <w:r w:rsidRPr="00DB4996">
        <w:rPr>
          <w:rFonts w:eastAsia="Calibri" w:cstheme="minorHAnsi"/>
          <w:b/>
          <w:bCs/>
          <w:sz w:val="24"/>
          <w:szCs w:val="24"/>
          <w:lang w:eastAsia="et-EE"/>
        </w:rPr>
        <w:t xml:space="preserve"> Märkused</w:t>
      </w:r>
    </w:p>
    <w:p w14:paraId="05070E67" w14:textId="77777777" w:rsidR="00B731C3" w:rsidRPr="00DB4996" w:rsidRDefault="00B731C3" w:rsidP="00B731C3">
      <w:pPr>
        <w:spacing w:after="0" w:line="240" w:lineRule="auto"/>
        <w:jc w:val="both"/>
        <w:rPr>
          <w:rFonts w:eastAsia="Calibri" w:cstheme="minorHAnsi"/>
          <w:b/>
          <w:bCs/>
          <w:sz w:val="24"/>
          <w:szCs w:val="24"/>
          <w:lang w:eastAsia="et-EE"/>
        </w:rPr>
      </w:pPr>
    </w:p>
    <w:p w14:paraId="7AC03089" w14:textId="77777777" w:rsidR="00B731C3" w:rsidRPr="00595121" w:rsidRDefault="00B731C3" w:rsidP="00B731C3">
      <w:pPr>
        <w:spacing w:after="0" w:line="240" w:lineRule="auto"/>
        <w:jc w:val="both"/>
        <w:rPr>
          <w:rFonts w:eastAsia="Times New Roman" w:cstheme="minorHAnsi"/>
          <w:sz w:val="24"/>
          <w:szCs w:val="24"/>
        </w:rPr>
      </w:pPr>
      <w:r w:rsidRPr="00595121">
        <w:rPr>
          <w:rFonts w:eastAsia="Calibri" w:cstheme="minorHAnsi"/>
          <w:sz w:val="24"/>
          <w:szCs w:val="24"/>
          <w:lang w:eastAsia="et-EE"/>
        </w:rPr>
        <w:t xml:space="preserve">Eelnõu </w:t>
      </w:r>
      <w:r w:rsidRPr="00595121">
        <w:rPr>
          <w:rFonts w:eastAsia="Times New Roman" w:cstheme="minorHAnsi"/>
          <w:sz w:val="24"/>
          <w:szCs w:val="24"/>
        </w:rPr>
        <w:t>ei ole seotud muu menetluses oleva eelnõuga.</w:t>
      </w:r>
    </w:p>
    <w:p w14:paraId="3A12F949" w14:textId="77777777" w:rsidR="00B731C3" w:rsidRPr="00595121" w:rsidRDefault="00B731C3" w:rsidP="00B731C3">
      <w:pPr>
        <w:spacing w:after="0" w:line="240" w:lineRule="auto"/>
        <w:jc w:val="both"/>
        <w:rPr>
          <w:rFonts w:eastAsia="Times New Roman" w:cstheme="minorHAnsi"/>
          <w:sz w:val="24"/>
          <w:szCs w:val="24"/>
        </w:rPr>
      </w:pPr>
    </w:p>
    <w:p w14:paraId="04F22AFB" w14:textId="77777777" w:rsidR="00B731C3" w:rsidRPr="00595121" w:rsidRDefault="00B731C3" w:rsidP="00B731C3">
      <w:pPr>
        <w:spacing w:after="0" w:line="240" w:lineRule="auto"/>
        <w:jc w:val="both"/>
        <w:rPr>
          <w:rFonts w:ascii="Times New Roman" w:eastAsia="Times New Roman" w:hAnsi="Times New Roman" w:cs="Times New Roman"/>
          <w:sz w:val="24"/>
          <w:szCs w:val="24"/>
        </w:rPr>
      </w:pPr>
      <w:r w:rsidRPr="00595121">
        <w:rPr>
          <w:rFonts w:eastAsia="Times New Roman" w:cstheme="minorHAnsi"/>
          <w:sz w:val="24"/>
          <w:szCs w:val="24"/>
        </w:rPr>
        <w:t>Eelnõu on seotud Euroopa Liidu õiguse rakendamisega.</w:t>
      </w:r>
    </w:p>
    <w:p w14:paraId="5967A145" w14:textId="77777777" w:rsidR="00B731C3" w:rsidRPr="00595121" w:rsidRDefault="00B731C3" w:rsidP="00B731C3">
      <w:pPr>
        <w:spacing w:after="0" w:line="240" w:lineRule="auto"/>
        <w:jc w:val="both"/>
        <w:rPr>
          <w:rFonts w:ascii="Times New Roman" w:hAnsi="Times New Roman" w:cs="Times New Roman"/>
          <w:sz w:val="24"/>
          <w:szCs w:val="24"/>
        </w:rPr>
      </w:pPr>
    </w:p>
    <w:p w14:paraId="77A2B5D8" w14:textId="77777777" w:rsidR="00B731C3" w:rsidRPr="00595121" w:rsidRDefault="00B731C3" w:rsidP="00B731C3">
      <w:pPr>
        <w:spacing w:after="0" w:line="240" w:lineRule="auto"/>
        <w:jc w:val="both"/>
        <w:rPr>
          <w:rFonts w:ascii="Times New Roman" w:hAnsi="Times New Roman" w:cs="Times New Roman"/>
          <w:sz w:val="24"/>
          <w:szCs w:val="24"/>
        </w:rPr>
      </w:pPr>
      <w:r w:rsidRPr="00595121">
        <w:rPr>
          <w:rFonts w:ascii="Times New Roman" w:hAnsi="Times New Roman" w:cs="Times New Roman"/>
          <w:sz w:val="24"/>
          <w:szCs w:val="24"/>
        </w:rPr>
        <w:t>Eelnõukohase seadusega muudetakse seaduste järgmisi redaktsioone:</w:t>
      </w:r>
    </w:p>
    <w:p w14:paraId="3827213F" w14:textId="77777777" w:rsidR="00B731C3" w:rsidRPr="00595121" w:rsidRDefault="00B731C3" w:rsidP="00B731C3">
      <w:pPr>
        <w:spacing w:after="0" w:line="240" w:lineRule="auto"/>
        <w:jc w:val="both"/>
        <w:rPr>
          <w:rFonts w:ascii="Times New Roman" w:hAnsi="Times New Roman" w:cs="Times New Roman"/>
          <w:sz w:val="24"/>
          <w:szCs w:val="24"/>
        </w:rPr>
      </w:pPr>
      <w:r w:rsidRPr="00595121">
        <w:rPr>
          <w:rFonts w:ascii="Times New Roman" w:hAnsi="Times New Roman" w:cs="Times New Roman"/>
          <w:sz w:val="24"/>
          <w:szCs w:val="24"/>
        </w:rPr>
        <w:t>1) ELTS avaldamismärkega RT I, 04.07.2024, 7;</w:t>
      </w:r>
    </w:p>
    <w:p w14:paraId="50333871" w14:textId="77777777" w:rsidR="00B731C3" w:rsidRPr="00595121" w:rsidRDefault="00B731C3" w:rsidP="00B731C3">
      <w:pPr>
        <w:spacing w:after="0" w:line="240" w:lineRule="auto"/>
        <w:jc w:val="both"/>
        <w:rPr>
          <w:rFonts w:ascii="Times New Roman" w:hAnsi="Times New Roman" w:cs="Times New Roman"/>
          <w:sz w:val="24"/>
          <w:szCs w:val="24"/>
        </w:rPr>
      </w:pPr>
      <w:r w:rsidRPr="00595121">
        <w:rPr>
          <w:rFonts w:ascii="Times New Roman" w:hAnsi="Times New Roman" w:cs="Times New Roman"/>
          <w:sz w:val="24"/>
          <w:szCs w:val="24"/>
        </w:rPr>
        <w:t>2) EnKS avaldamismärkega RT I, 04.07.2024, 4;</w:t>
      </w:r>
    </w:p>
    <w:p w14:paraId="580916A0" w14:textId="77777777" w:rsidR="00B731C3" w:rsidRPr="00595121" w:rsidRDefault="00B731C3" w:rsidP="00B731C3">
      <w:pPr>
        <w:spacing w:after="0" w:line="240" w:lineRule="auto"/>
        <w:jc w:val="both"/>
        <w:rPr>
          <w:rFonts w:ascii="Times New Roman" w:hAnsi="Times New Roman" w:cs="Times New Roman"/>
          <w:sz w:val="24"/>
          <w:szCs w:val="24"/>
        </w:rPr>
      </w:pPr>
      <w:r w:rsidRPr="00595121">
        <w:rPr>
          <w:rFonts w:ascii="Times New Roman" w:hAnsi="Times New Roman" w:cs="Times New Roman"/>
          <w:sz w:val="24"/>
          <w:szCs w:val="24"/>
        </w:rPr>
        <w:t>3) MGS avaldamismärkega RT I, 08.10.2024, 12.</w:t>
      </w:r>
    </w:p>
    <w:p w14:paraId="6FB5CE37" w14:textId="77777777" w:rsidR="00B731C3" w:rsidRPr="00595121" w:rsidRDefault="00B731C3" w:rsidP="00B731C3">
      <w:pPr>
        <w:spacing w:after="0" w:line="240" w:lineRule="auto"/>
        <w:jc w:val="both"/>
        <w:rPr>
          <w:rFonts w:ascii="Times New Roman" w:hAnsi="Times New Roman" w:cs="Times New Roman"/>
          <w:sz w:val="24"/>
          <w:szCs w:val="24"/>
        </w:rPr>
      </w:pPr>
    </w:p>
    <w:p w14:paraId="2CB508DF" w14:textId="77777777" w:rsidR="00B731C3" w:rsidRPr="00595121" w:rsidRDefault="00B731C3" w:rsidP="00B731C3">
      <w:pPr>
        <w:spacing w:after="0" w:line="240" w:lineRule="auto"/>
        <w:jc w:val="both"/>
        <w:rPr>
          <w:rFonts w:ascii="Times New Roman" w:hAnsi="Times New Roman" w:cs="Times New Roman"/>
          <w:sz w:val="24"/>
          <w:szCs w:val="24"/>
        </w:rPr>
      </w:pPr>
    </w:p>
    <w:p w14:paraId="38221446" w14:textId="77777777" w:rsidR="00B731C3" w:rsidRDefault="00B731C3" w:rsidP="00B731C3">
      <w:pPr>
        <w:spacing w:after="0" w:line="240" w:lineRule="auto"/>
        <w:jc w:val="both"/>
        <w:rPr>
          <w:rFonts w:ascii="Times New Roman" w:eastAsia="Times New Roman" w:hAnsi="Times New Roman" w:cs="Times New Roman"/>
          <w:sz w:val="24"/>
          <w:szCs w:val="24"/>
        </w:rPr>
      </w:pPr>
      <w:r w:rsidRPr="00595121">
        <w:rPr>
          <w:rFonts w:ascii="Times New Roman" w:eastAsia="Times New Roman" w:hAnsi="Times New Roman" w:cs="Times New Roman"/>
          <w:sz w:val="24"/>
          <w:szCs w:val="24"/>
        </w:rPr>
        <w:t>Tuginedes Vabariigi Valitsuse 22. detsembri 2011. a määruse nr 180 „Hea õigusloome ja normitehnika eeskiri“ § 1 lõike 2 punktile 2, mis sätestab, et seaduseelnõu väljatöötamiskavatsus ei ole nõutav, kui eelnõu käsitleb Euroopa Liidu õiguse rakendamist, ei ole tehtud seaduseelnõu väljatöötamiskavatsust.</w:t>
      </w:r>
    </w:p>
    <w:p w14:paraId="0E70A34A" w14:textId="77777777" w:rsidR="00B731C3" w:rsidRDefault="00B731C3" w:rsidP="00B731C3">
      <w:pPr>
        <w:spacing w:after="0" w:line="240" w:lineRule="auto"/>
        <w:jc w:val="both"/>
        <w:rPr>
          <w:rFonts w:ascii="Times New Roman" w:eastAsia="Times New Roman" w:hAnsi="Times New Roman" w:cs="Times New Roman"/>
          <w:sz w:val="24"/>
          <w:szCs w:val="24"/>
        </w:rPr>
      </w:pPr>
    </w:p>
    <w:p w14:paraId="123509E7" w14:textId="77777777" w:rsidR="00B731C3" w:rsidRPr="00523787" w:rsidRDefault="00B731C3" w:rsidP="00B731C3">
      <w:pPr>
        <w:spacing w:after="0" w:line="240" w:lineRule="auto"/>
        <w:jc w:val="both"/>
        <w:rPr>
          <w:rFonts w:ascii="Times New Roman" w:eastAsia="Times New Roman" w:hAnsi="Times New Roman" w:cs="Times New Roman"/>
          <w:sz w:val="24"/>
          <w:szCs w:val="24"/>
        </w:rPr>
      </w:pPr>
      <w:r w:rsidRPr="00523787">
        <w:rPr>
          <w:rFonts w:ascii="Times New Roman" w:eastAsia="Times New Roman" w:hAnsi="Times New Roman" w:cs="Times New Roman"/>
          <w:sz w:val="24"/>
          <w:szCs w:val="24"/>
        </w:rPr>
        <w:t>Eelnõu vastuvõtmiseks on vajalik Riigikogu poolthäälte</w:t>
      </w:r>
      <w:r>
        <w:rPr>
          <w:rFonts w:ascii="Times New Roman" w:eastAsia="Times New Roman" w:hAnsi="Times New Roman" w:cs="Times New Roman"/>
          <w:sz w:val="24"/>
          <w:szCs w:val="24"/>
        </w:rPr>
        <w:t xml:space="preserve"> </w:t>
      </w:r>
      <w:r w:rsidRPr="00523787">
        <w:rPr>
          <w:rFonts w:ascii="Times New Roman" w:eastAsia="Times New Roman" w:hAnsi="Times New Roman" w:cs="Times New Roman"/>
          <w:sz w:val="24"/>
          <w:szCs w:val="24"/>
        </w:rPr>
        <w:t>enamus.</w:t>
      </w:r>
    </w:p>
    <w:p w14:paraId="17C9A95A" w14:textId="77777777" w:rsidR="00B731C3" w:rsidRDefault="00B731C3" w:rsidP="00B731C3">
      <w:pPr>
        <w:autoSpaceDE w:val="0"/>
        <w:autoSpaceDN w:val="0"/>
        <w:adjustRightInd w:val="0"/>
        <w:spacing w:after="0" w:line="240" w:lineRule="auto"/>
        <w:jc w:val="both"/>
        <w:rPr>
          <w:rFonts w:eastAsia="Calibri" w:cstheme="minorHAnsi"/>
          <w:b/>
          <w:sz w:val="24"/>
          <w:szCs w:val="24"/>
          <w:lang w:eastAsia="et-EE"/>
        </w:rPr>
      </w:pPr>
    </w:p>
    <w:p w14:paraId="2E72B1A5" w14:textId="77777777" w:rsidR="00B731C3" w:rsidRPr="00DB4996" w:rsidRDefault="00B731C3" w:rsidP="00B731C3">
      <w:pPr>
        <w:autoSpaceDE w:val="0"/>
        <w:autoSpaceDN w:val="0"/>
        <w:adjustRightInd w:val="0"/>
        <w:spacing w:after="0" w:line="240" w:lineRule="auto"/>
        <w:jc w:val="both"/>
        <w:rPr>
          <w:rFonts w:eastAsia="Calibri" w:cstheme="minorHAnsi"/>
          <w:b/>
          <w:sz w:val="24"/>
          <w:szCs w:val="24"/>
          <w:lang w:eastAsia="et-EE"/>
        </w:rPr>
      </w:pPr>
      <w:r w:rsidRPr="00DB4996">
        <w:rPr>
          <w:rFonts w:eastAsia="Calibri" w:cstheme="minorHAnsi"/>
          <w:b/>
          <w:sz w:val="24"/>
          <w:szCs w:val="24"/>
          <w:lang w:eastAsia="et-EE"/>
        </w:rPr>
        <w:t>2. Seaduse eesmärk</w:t>
      </w:r>
    </w:p>
    <w:p w14:paraId="0115D984" w14:textId="77777777" w:rsidR="00B731C3" w:rsidRDefault="00B731C3" w:rsidP="00B731C3">
      <w:pPr>
        <w:spacing w:after="0" w:line="240" w:lineRule="auto"/>
        <w:jc w:val="both"/>
        <w:rPr>
          <w:rFonts w:eastAsia="Calibri" w:cstheme="minorHAnsi"/>
          <w:sz w:val="24"/>
          <w:szCs w:val="24"/>
          <w:lang w:eastAsia="et-EE"/>
        </w:rPr>
      </w:pPr>
    </w:p>
    <w:p w14:paraId="3E4656E0" w14:textId="77777777" w:rsidR="00B731C3" w:rsidRDefault="00B731C3" w:rsidP="00B731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w:t>
      </w:r>
      <w:r w:rsidRPr="007F2B8D">
        <w:rPr>
          <w:rFonts w:ascii="Times New Roman" w:hAnsi="Times New Roman" w:cs="Times New Roman"/>
          <w:sz w:val="24"/>
          <w:szCs w:val="24"/>
        </w:rPr>
        <w:t>elnõu</w:t>
      </w:r>
      <w:r>
        <w:rPr>
          <w:rFonts w:ascii="Times New Roman" w:hAnsi="Times New Roman" w:cs="Times New Roman"/>
          <w:sz w:val="24"/>
          <w:szCs w:val="24"/>
        </w:rPr>
        <w:t>kohase seaduse</w:t>
      </w:r>
      <w:r w:rsidRPr="007F2B8D">
        <w:rPr>
          <w:rFonts w:ascii="Times New Roman" w:hAnsi="Times New Roman" w:cs="Times New Roman"/>
          <w:sz w:val="24"/>
          <w:szCs w:val="24"/>
        </w:rPr>
        <w:t xml:space="preserve"> eesmär</w:t>
      </w:r>
      <w:r>
        <w:rPr>
          <w:rFonts w:ascii="Times New Roman" w:hAnsi="Times New Roman" w:cs="Times New Roman"/>
          <w:sz w:val="24"/>
          <w:szCs w:val="24"/>
        </w:rPr>
        <w:t>k</w:t>
      </w:r>
      <w:r w:rsidRPr="007F2B8D">
        <w:rPr>
          <w:rFonts w:ascii="Times New Roman" w:hAnsi="Times New Roman" w:cs="Times New Roman"/>
          <w:sz w:val="24"/>
          <w:szCs w:val="24"/>
        </w:rPr>
        <w:t xml:space="preserve"> on üle võtta direktiivist nr </w:t>
      </w:r>
      <w:r>
        <w:rPr>
          <w:rFonts w:ascii="Times New Roman" w:hAnsi="Times New Roman" w:cs="Times New Roman"/>
          <w:sz w:val="24"/>
          <w:szCs w:val="24"/>
        </w:rPr>
        <w:t>2023/1791</w:t>
      </w:r>
      <w:r w:rsidRPr="007F2B8D">
        <w:rPr>
          <w:rFonts w:ascii="Times New Roman" w:hAnsi="Times New Roman" w:cs="Times New Roman"/>
          <w:sz w:val="24"/>
          <w:szCs w:val="24"/>
        </w:rPr>
        <w:t xml:space="preserve"> tulenevad uued kohustused, mis aitavad saavutada Euroopa Liidu pikaajalist eesmärki </w:t>
      </w:r>
      <w:r>
        <w:rPr>
          <w:rFonts w:ascii="Times New Roman" w:hAnsi="Times New Roman" w:cs="Times New Roman"/>
          <w:sz w:val="24"/>
          <w:szCs w:val="24"/>
        </w:rPr>
        <w:t xml:space="preserve">(„Eesmärk 55“) </w:t>
      </w:r>
      <w:r w:rsidRPr="007F2B8D">
        <w:rPr>
          <w:rFonts w:ascii="Times New Roman" w:hAnsi="Times New Roman" w:cs="Times New Roman"/>
          <w:sz w:val="24"/>
          <w:szCs w:val="24"/>
        </w:rPr>
        <w:t>energiakasutuse vähendamisel.</w:t>
      </w:r>
    </w:p>
    <w:p w14:paraId="2B7F9283" w14:textId="77777777" w:rsidR="00B731C3" w:rsidRDefault="00B731C3" w:rsidP="00B731C3">
      <w:pPr>
        <w:spacing w:after="0" w:line="240" w:lineRule="auto"/>
        <w:jc w:val="both"/>
        <w:rPr>
          <w:rFonts w:ascii="Times New Roman" w:hAnsi="Times New Roman" w:cs="Times New Roman"/>
          <w:sz w:val="24"/>
          <w:szCs w:val="24"/>
        </w:rPr>
      </w:pPr>
    </w:p>
    <w:p w14:paraId="5824874D" w14:textId="77777777" w:rsidR="00B731C3" w:rsidRDefault="00B731C3" w:rsidP="00B731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Euroopa Komisjon tegi </w:t>
      </w:r>
      <w:r w:rsidRPr="0078505F">
        <w:rPr>
          <w:rFonts w:ascii="Times New Roman" w:hAnsi="Times New Roman" w:cs="Times New Roman"/>
          <w:sz w:val="24"/>
          <w:szCs w:val="24"/>
        </w:rPr>
        <w:t>17. septembri 2020. aasta teatises „Euroopa 2030. aasta kliimaeesmärgi suurendamine – investeerimine kliimaneutraalsesse tulevikku meie inimeste hüvanguks“ (edaspidi kliimaeesmärgi kava) ettepaneku viia liidu kliimaeesmärk järgmisele tasemele, suurendades kasvuhoonegaaside heite vähendamise eesmärki 2030. aastaks 1990. aasta tasemega võrreldes vähemalt 55%-ni. Praeguse 40% vähendamiseesmärgiga võrreldes on see oluline kasv. Ettepanek vastab komisjoni 11.</w:t>
      </w:r>
      <w:r>
        <w:rPr>
          <w:rFonts w:ascii="Times New Roman" w:hAnsi="Times New Roman" w:cs="Times New Roman"/>
          <w:sz w:val="24"/>
          <w:szCs w:val="24"/>
        </w:rPr>
        <w:t> </w:t>
      </w:r>
      <w:r w:rsidRPr="0078505F">
        <w:rPr>
          <w:rFonts w:ascii="Times New Roman" w:hAnsi="Times New Roman" w:cs="Times New Roman"/>
          <w:sz w:val="24"/>
          <w:szCs w:val="24"/>
        </w:rPr>
        <w:t>detsembri 2019. aasta teatises „Euroopa roheline kokkulepe“ (edaspidi „Euroopa rohelepe“) võetud kohustusele esitada terviklik kava liidu 2030. aasta eesmärgi suurendamiseks 55%-ni vastutustundlikul viisil.</w:t>
      </w:r>
    </w:p>
    <w:p w14:paraId="0C677B67" w14:textId="77777777" w:rsidR="00B731C3" w:rsidRDefault="00B731C3" w:rsidP="00B731C3">
      <w:pPr>
        <w:spacing w:after="0" w:line="240" w:lineRule="auto"/>
        <w:jc w:val="both"/>
        <w:rPr>
          <w:rFonts w:ascii="Times New Roman" w:hAnsi="Times New Roman" w:cs="Times New Roman"/>
          <w:sz w:val="24"/>
          <w:szCs w:val="24"/>
        </w:rPr>
      </w:pPr>
    </w:p>
    <w:p w14:paraId="78F5DD81" w14:textId="77777777" w:rsidR="00B731C3" w:rsidRDefault="00B731C3" w:rsidP="00B731C3">
      <w:pPr>
        <w:spacing w:after="0" w:line="240" w:lineRule="auto"/>
        <w:jc w:val="both"/>
        <w:rPr>
          <w:color w:val="202020"/>
          <w:sz w:val="24"/>
          <w:szCs w:val="24"/>
          <w:shd w:val="clear" w:color="auto" w:fill="FFFFFF"/>
        </w:rPr>
      </w:pPr>
      <w:r w:rsidRPr="008711C0">
        <w:rPr>
          <w:color w:val="202020"/>
          <w:sz w:val="24"/>
          <w:szCs w:val="24"/>
          <w:shd w:val="clear" w:color="auto" w:fill="FFFFFF"/>
        </w:rPr>
        <w:t>Energiatõhususe direktiivi uuesti</w:t>
      </w:r>
      <w:r>
        <w:rPr>
          <w:color w:val="202020"/>
          <w:sz w:val="24"/>
          <w:szCs w:val="24"/>
          <w:shd w:val="clear" w:color="auto" w:fill="FFFFFF"/>
        </w:rPr>
        <w:t xml:space="preserve"> sõnastamise ettepanek esitati Euroopa Komisjoni poolt 20.07.2021. Direktiivi arutati ning Eesti seisukohad</w:t>
      </w:r>
      <w:r>
        <w:rPr>
          <w:rStyle w:val="Allmrkuseviide"/>
          <w:color w:val="202020"/>
          <w:sz w:val="24"/>
          <w:szCs w:val="24"/>
          <w:shd w:val="clear" w:color="auto" w:fill="FFFFFF"/>
        </w:rPr>
        <w:footnoteReference w:id="2"/>
      </w:r>
      <w:r>
        <w:rPr>
          <w:color w:val="202020"/>
          <w:sz w:val="24"/>
          <w:szCs w:val="24"/>
          <w:shd w:val="clear" w:color="auto" w:fill="FFFFFF"/>
        </w:rPr>
        <w:t xml:space="preserve"> koondati järgmistel kohtumistel:  </w:t>
      </w:r>
    </w:p>
    <w:p w14:paraId="0B3F9BD2" w14:textId="77777777" w:rsidR="00B731C3" w:rsidRDefault="00B731C3" w:rsidP="00B731C3">
      <w:pPr>
        <w:pStyle w:val="Loendilik"/>
        <w:numPr>
          <w:ilvl w:val="0"/>
          <w:numId w:val="47"/>
        </w:numPr>
        <w:spacing w:after="0" w:line="240" w:lineRule="auto"/>
        <w:jc w:val="both"/>
        <w:rPr>
          <w:rFonts w:eastAsiaTheme="minorEastAsia"/>
          <w:color w:val="202020"/>
          <w:sz w:val="24"/>
          <w:szCs w:val="24"/>
        </w:rPr>
      </w:pPr>
      <w:r>
        <w:rPr>
          <w:rFonts w:eastAsiaTheme="minorEastAsia"/>
          <w:color w:val="202020"/>
          <w:sz w:val="24"/>
          <w:szCs w:val="24"/>
        </w:rPr>
        <w:t>Vabariigi valitsuses kinnitatud Eesti seisukoht 9.12.2021</w:t>
      </w:r>
    </w:p>
    <w:p w14:paraId="224987CE" w14:textId="77777777" w:rsidR="00B731C3" w:rsidRDefault="00B731C3" w:rsidP="00B731C3">
      <w:pPr>
        <w:pStyle w:val="Loendilik"/>
        <w:numPr>
          <w:ilvl w:val="0"/>
          <w:numId w:val="47"/>
        </w:numPr>
        <w:spacing w:after="0" w:line="240" w:lineRule="auto"/>
        <w:jc w:val="both"/>
        <w:rPr>
          <w:rFonts w:eastAsiaTheme="minorEastAsia"/>
          <w:color w:val="202020"/>
          <w:sz w:val="24"/>
          <w:szCs w:val="24"/>
        </w:rPr>
      </w:pPr>
      <w:r>
        <w:rPr>
          <w:rFonts w:eastAsiaTheme="minorEastAsia"/>
          <w:color w:val="202020"/>
          <w:sz w:val="24"/>
          <w:szCs w:val="24"/>
        </w:rPr>
        <w:t>Riigikogu majanduskomisjoni arvamus 20.01.2022</w:t>
      </w:r>
    </w:p>
    <w:p w14:paraId="79EBAC5E" w14:textId="77777777" w:rsidR="00B731C3" w:rsidRDefault="00B731C3" w:rsidP="00B731C3">
      <w:pPr>
        <w:pStyle w:val="Loendilik"/>
        <w:numPr>
          <w:ilvl w:val="0"/>
          <w:numId w:val="47"/>
        </w:numPr>
        <w:spacing w:after="0" w:line="240" w:lineRule="auto"/>
        <w:jc w:val="both"/>
        <w:rPr>
          <w:rFonts w:eastAsiaTheme="minorEastAsia"/>
          <w:color w:val="202020"/>
          <w:sz w:val="24"/>
          <w:szCs w:val="24"/>
        </w:rPr>
      </w:pPr>
      <w:r>
        <w:rPr>
          <w:rFonts w:eastAsiaTheme="minorEastAsia"/>
          <w:color w:val="202020"/>
          <w:sz w:val="24"/>
          <w:szCs w:val="24"/>
        </w:rPr>
        <w:t>Riigikogu seisukoht Euroopa asjade komisjonis 24.03.2022</w:t>
      </w:r>
    </w:p>
    <w:p w14:paraId="61409DBD" w14:textId="77777777" w:rsidR="00B731C3" w:rsidRDefault="00B731C3" w:rsidP="00B731C3">
      <w:pPr>
        <w:spacing w:after="0" w:line="240" w:lineRule="auto"/>
        <w:jc w:val="both"/>
        <w:rPr>
          <w:rFonts w:ascii="Times New Roman" w:hAnsi="Times New Roman" w:cs="Times New Roman"/>
          <w:sz w:val="24"/>
          <w:szCs w:val="24"/>
        </w:rPr>
      </w:pPr>
    </w:p>
    <w:p w14:paraId="06F044CA" w14:textId="77777777" w:rsidR="00B731C3" w:rsidRDefault="00B731C3" w:rsidP="00B731C3">
      <w:pPr>
        <w:spacing w:after="0" w:line="240" w:lineRule="auto"/>
        <w:jc w:val="both"/>
        <w:rPr>
          <w:rFonts w:ascii="Times New Roman" w:hAnsi="Times New Roman" w:cs="Times New Roman"/>
          <w:sz w:val="24"/>
          <w:szCs w:val="24"/>
        </w:rPr>
      </w:pPr>
      <w:r w:rsidRPr="0068686C">
        <w:rPr>
          <w:rFonts w:ascii="Times New Roman" w:hAnsi="Times New Roman" w:cs="Times New Roman"/>
          <w:sz w:val="24"/>
          <w:szCs w:val="24"/>
        </w:rPr>
        <w:t>Direktiivi</w:t>
      </w:r>
      <w:r>
        <w:rPr>
          <w:rFonts w:ascii="Times New Roman" w:hAnsi="Times New Roman" w:cs="Times New Roman"/>
          <w:sz w:val="24"/>
          <w:szCs w:val="24"/>
        </w:rPr>
        <w:t>ga</w:t>
      </w:r>
      <w:r w:rsidRPr="0068686C">
        <w:rPr>
          <w:rFonts w:ascii="Times New Roman" w:hAnsi="Times New Roman" w:cs="Times New Roman"/>
          <w:sz w:val="24"/>
          <w:szCs w:val="24"/>
        </w:rPr>
        <w:t xml:space="preserve"> (EL) 2023/1791</w:t>
      </w:r>
      <w:r>
        <w:rPr>
          <w:rFonts w:ascii="Times New Roman" w:hAnsi="Times New Roman" w:cs="Times New Roman"/>
          <w:sz w:val="24"/>
          <w:szCs w:val="24"/>
        </w:rPr>
        <w:t xml:space="preserve"> </w:t>
      </w:r>
      <w:r w:rsidRPr="007F2B8D">
        <w:rPr>
          <w:rFonts w:ascii="Times New Roman" w:hAnsi="Times New Roman" w:cs="Times New Roman"/>
          <w:sz w:val="24"/>
          <w:szCs w:val="24"/>
        </w:rPr>
        <w:t xml:space="preserve">ajakohastati </w:t>
      </w:r>
      <w:r>
        <w:rPr>
          <w:rFonts w:ascii="Times New Roman" w:hAnsi="Times New Roman" w:cs="Times New Roman"/>
          <w:sz w:val="24"/>
          <w:szCs w:val="24"/>
        </w:rPr>
        <w:t>kumulatiivset energiasäästu eesmärki ning karmistati ja laiendati avaliku sektori energiasäästu kohustusi.</w:t>
      </w:r>
    </w:p>
    <w:p w14:paraId="4A8BA6CA" w14:textId="77777777" w:rsidR="00B731C3" w:rsidRDefault="00B731C3" w:rsidP="00B731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Ajakohastamise aluseks olid uuenenud prognoosid, mis näitasid, et Euroopa Liit ei liigu Pariisi kliimaleppe eesmärkide suunas. Esimest korda suurendati liidu kumulatiivset energiatõhususe eesmärki paketiga „Eesmärk 55“ 9%-ni. Venemaa agressioon järel Ukraina vastu, mis tekitas energiakriis, tehti kavaga „REPowerEU“ ettepanek tõsta liidu energiatõhususe eesmärki 13%-ni. Direktiivis (EL) 2023/1791 jõudsid Euroopa Parlament ja nõukogu kompromissini </w:t>
      </w:r>
      <w:r w:rsidRPr="00BE0B50">
        <w:rPr>
          <w:rFonts w:ascii="Times New Roman" w:hAnsi="Times New Roman" w:cs="Times New Roman"/>
          <w:sz w:val="24"/>
          <w:szCs w:val="24"/>
        </w:rPr>
        <w:t>vähendada ELi lõppenergia tarbimist 2030. aastaks vähemalt 11,7% võrreldes 2020. aastal tehtud prognoosidega.</w:t>
      </w:r>
    </w:p>
    <w:p w14:paraId="6A8A7011" w14:textId="77777777" w:rsidR="00B731C3" w:rsidRDefault="00B731C3" w:rsidP="00B731C3">
      <w:pPr>
        <w:spacing w:after="0" w:line="240" w:lineRule="auto"/>
        <w:jc w:val="both"/>
        <w:rPr>
          <w:rFonts w:ascii="Times New Roman" w:hAnsi="Times New Roman" w:cs="Times New Roman"/>
          <w:sz w:val="24"/>
          <w:szCs w:val="24"/>
        </w:rPr>
      </w:pPr>
    </w:p>
    <w:p w14:paraId="5BFA3077" w14:textId="77777777" w:rsidR="00B731C3" w:rsidRDefault="00B731C3" w:rsidP="00B731C3">
      <w:pPr>
        <w:spacing w:after="0" w:line="240" w:lineRule="auto"/>
        <w:jc w:val="both"/>
        <w:rPr>
          <w:rFonts w:ascii="Times New Roman" w:hAnsi="Times New Roman" w:cs="Times New Roman"/>
          <w:sz w:val="24"/>
          <w:szCs w:val="24"/>
        </w:rPr>
      </w:pPr>
      <w:r w:rsidRPr="00916053">
        <w:rPr>
          <w:rFonts w:ascii="Times New Roman" w:hAnsi="Times New Roman" w:cs="Times New Roman"/>
          <w:sz w:val="24"/>
          <w:szCs w:val="24"/>
        </w:rPr>
        <w:t>Liikmesriigid tagavad ühiselt, et 2030. aastaks vähendatakse energiatarbimist vähemalt 11,7% võrreldes 2020. aasta ELi võrdlusstsenaariumi prognoosidega, nii et liidu energia lõpptarbimine 2030. aastal ei ületa 763 miljonit naftaekvivalenttonni</w:t>
      </w:r>
      <w:r>
        <w:rPr>
          <w:rStyle w:val="Allmrkuseviide"/>
          <w:rFonts w:ascii="Times New Roman" w:hAnsi="Times New Roman" w:cs="Times New Roman"/>
          <w:sz w:val="24"/>
          <w:szCs w:val="24"/>
        </w:rPr>
        <w:footnoteReference w:id="3"/>
      </w:r>
      <w:r w:rsidRPr="00916053">
        <w:rPr>
          <w:rFonts w:ascii="Times New Roman" w:hAnsi="Times New Roman" w:cs="Times New Roman"/>
          <w:sz w:val="24"/>
          <w:szCs w:val="24"/>
        </w:rPr>
        <w:t>. Liikmesriigid teevad kõik selleks, et ühiselt aidata saavutada soovituslikku liidu primaarenergia tarbimise eesmärki, mille kohaselt ei ületata 2030. aastal 992,5 miljonit naftaekvivalenttonni</w:t>
      </w:r>
      <w:r>
        <w:rPr>
          <w:rFonts w:ascii="Times New Roman" w:hAnsi="Times New Roman" w:cs="Times New Roman"/>
          <w:sz w:val="24"/>
          <w:szCs w:val="24"/>
        </w:rPr>
        <w:t>.</w:t>
      </w:r>
    </w:p>
    <w:p w14:paraId="28221B7A" w14:textId="77777777" w:rsidR="00B731C3" w:rsidRDefault="00B731C3" w:rsidP="00B731C3">
      <w:pPr>
        <w:spacing w:after="0" w:line="240" w:lineRule="auto"/>
        <w:jc w:val="both"/>
        <w:rPr>
          <w:rFonts w:ascii="Times New Roman" w:hAnsi="Times New Roman" w:cs="Times New Roman"/>
          <w:sz w:val="24"/>
          <w:szCs w:val="24"/>
        </w:rPr>
      </w:pPr>
    </w:p>
    <w:p w14:paraId="3F84CD6B" w14:textId="77777777" w:rsidR="00B731C3" w:rsidRDefault="00B731C3" w:rsidP="00B731C3">
      <w:pPr>
        <w:spacing w:after="0" w:line="240" w:lineRule="auto"/>
        <w:jc w:val="both"/>
        <w:rPr>
          <w:rFonts w:ascii="Times New Roman" w:hAnsi="Times New Roman" w:cs="Times New Roman"/>
          <w:sz w:val="24"/>
          <w:szCs w:val="24"/>
        </w:rPr>
      </w:pPr>
      <w:r w:rsidRPr="00BE0B50">
        <w:rPr>
          <w:rFonts w:ascii="Times New Roman" w:hAnsi="Times New Roman" w:cs="Times New Roman"/>
          <w:sz w:val="24"/>
          <w:szCs w:val="24"/>
        </w:rPr>
        <w:t xml:space="preserve">Energiatõhususe meetmete eesmärk on saavutada kestlik energiavarustus, vähendada kasvuhoonegaaside heitkoguseid, parandada varustuskindlust, vähendada impordiarveid ning edendada Euroopa konkurentsivõimet. </w:t>
      </w:r>
      <w:r w:rsidRPr="00712E3A">
        <w:rPr>
          <w:rFonts w:ascii="Times New Roman" w:hAnsi="Times New Roman" w:cs="Times New Roman"/>
          <w:sz w:val="24"/>
          <w:szCs w:val="24"/>
        </w:rPr>
        <w:t>Energia säästmine on kõige kiirem ja odavam viis energiakriisi</w:t>
      </w:r>
      <w:r>
        <w:rPr>
          <w:rFonts w:ascii="Times New Roman" w:hAnsi="Times New Roman" w:cs="Times New Roman"/>
          <w:sz w:val="24"/>
          <w:szCs w:val="24"/>
        </w:rPr>
        <w:t>dega</w:t>
      </w:r>
      <w:r w:rsidRPr="00712E3A">
        <w:rPr>
          <w:rFonts w:ascii="Times New Roman" w:hAnsi="Times New Roman" w:cs="Times New Roman"/>
          <w:sz w:val="24"/>
          <w:szCs w:val="24"/>
        </w:rPr>
        <w:t xml:space="preserve"> toimetulekuks. Energiatarbimise vähendamine vähendab kodumajapidamiste ja ettevõtete suuri energiaarveid lühikeses ja pikas perspektiivis</w:t>
      </w:r>
      <w:r>
        <w:rPr>
          <w:rFonts w:ascii="Times New Roman" w:hAnsi="Times New Roman" w:cs="Times New Roman"/>
          <w:sz w:val="24"/>
          <w:szCs w:val="24"/>
        </w:rPr>
        <w:t xml:space="preserve">. </w:t>
      </w:r>
      <w:r w:rsidRPr="00712E3A">
        <w:rPr>
          <w:rFonts w:ascii="Times New Roman" w:hAnsi="Times New Roman" w:cs="Times New Roman"/>
          <w:sz w:val="24"/>
          <w:szCs w:val="24"/>
        </w:rPr>
        <w:t>Energiatarbimise vähendamine suurema tõhususe kaudu on puhtale energiale ülemineku oluline osa, mis suurendab ELi majanduse vastupidavust j</w:t>
      </w:r>
      <w:r>
        <w:rPr>
          <w:rFonts w:ascii="Times New Roman" w:hAnsi="Times New Roman" w:cs="Times New Roman"/>
          <w:sz w:val="24"/>
          <w:szCs w:val="24"/>
        </w:rPr>
        <w:t>a</w:t>
      </w:r>
      <w:r w:rsidRPr="00712E3A">
        <w:rPr>
          <w:rFonts w:ascii="Times New Roman" w:hAnsi="Times New Roman" w:cs="Times New Roman"/>
          <w:sz w:val="24"/>
          <w:szCs w:val="24"/>
        </w:rPr>
        <w:t xml:space="preserve"> kaitseb selle konkurentsivõimet fossiilkütuste kõrgete hindade eest.</w:t>
      </w:r>
    </w:p>
    <w:p w14:paraId="64C96141" w14:textId="77777777" w:rsidR="00B731C3" w:rsidRDefault="00B731C3" w:rsidP="00B731C3">
      <w:pPr>
        <w:spacing w:after="0" w:line="240" w:lineRule="auto"/>
        <w:jc w:val="both"/>
        <w:rPr>
          <w:rFonts w:ascii="Times New Roman" w:hAnsi="Times New Roman" w:cs="Times New Roman"/>
          <w:sz w:val="24"/>
          <w:szCs w:val="24"/>
        </w:rPr>
      </w:pPr>
    </w:p>
    <w:p w14:paraId="1CA4DD39" w14:textId="77777777" w:rsidR="00B731C3" w:rsidRPr="007F2B8D" w:rsidRDefault="00B731C3" w:rsidP="00B731C3">
      <w:pPr>
        <w:spacing w:after="0" w:line="240" w:lineRule="auto"/>
        <w:jc w:val="both"/>
        <w:rPr>
          <w:rFonts w:ascii="Times New Roman" w:hAnsi="Times New Roman" w:cs="Times New Roman"/>
          <w:sz w:val="24"/>
          <w:szCs w:val="24"/>
        </w:rPr>
      </w:pPr>
      <w:r w:rsidRPr="007F2B8D">
        <w:rPr>
          <w:rFonts w:ascii="Times New Roman" w:hAnsi="Times New Roman" w:cs="Times New Roman"/>
          <w:sz w:val="24"/>
          <w:szCs w:val="24"/>
        </w:rPr>
        <w:t xml:space="preserve">Direktiivi </w:t>
      </w:r>
      <w:r>
        <w:rPr>
          <w:rFonts w:ascii="Times New Roman" w:hAnsi="Times New Roman" w:cs="Times New Roman"/>
          <w:sz w:val="24"/>
          <w:szCs w:val="24"/>
        </w:rPr>
        <w:t xml:space="preserve">(EL) 2023/1791 </w:t>
      </w:r>
      <w:r w:rsidRPr="007F2B8D">
        <w:rPr>
          <w:rFonts w:ascii="Times New Roman" w:hAnsi="Times New Roman" w:cs="Times New Roman"/>
          <w:sz w:val="24"/>
          <w:szCs w:val="24"/>
        </w:rPr>
        <w:t xml:space="preserve">järgi peab iga liikmesriik viima ellu direktiivist tulenevaid meetmeid ja saavutama </w:t>
      </w:r>
      <w:r>
        <w:rPr>
          <w:rFonts w:ascii="Times New Roman" w:hAnsi="Times New Roman" w:cs="Times New Roman"/>
          <w:sz w:val="24"/>
          <w:szCs w:val="24"/>
        </w:rPr>
        <w:t xml:space="preserve">kaks </w:t>
      </w:r>
      <w:r w:rsidRPr="007F2B8D">
        <w:rPr>
          <w:rFonts w:ascii="Times New Roman" w:hAnsi="Times New Roman" w:cs="Times New Roman"/>
          <w:sz w:val="24"/>
          <w:szCs w:val="24"/>
        </w:rPr>
        <w:t>kvantitatiivset eesmärki, mis põhinevad direktiivil või liikmesriigi enda otsusel:</w:t>
      </w:r>
    </w:p>
    <w:p w14:paraId="7BC788AE" w14:textId="77777777" w:rsidR="00B731C3" w:rsidRPr="00516975" w:rsidRDefault="00B731C3" w:rsidP="00B731C3">
      <w:pPr>
        <w:pStyle w:val="Loendilik"/>
        <w:numPr>
          <w:ilvl w:val="0"/>
          <w:numId w:val="35"/>
        </w:numPr>
        <w:spacing w:after="0" w:line="240" w:lineRule="auto"/>
        <w:jc w:val="both"/>
        <w:rPr>
          <w:rFonts w:ascii="Times New Roman" w:hAnsi="Times New Roman" w:cs="Times New Roman"/>
          <w:sz w:val="24"/>
          <w:szCs w:val="24"/>
        </w:rPr>
      </w:pPr>
      <w:r w:rsidRPr="00516975">
        <w:rPr>
          <w:rFonts w:ascii="Times New Roman" w:hAnsi="Times New Roman" w:cs="Times New Roman"/>
          <w:sz w:val="24"/>
          <w:szCs w:val="24"/>
        </w:rPr>
        <w:t>energia lõpptarbijate juures rakendatavate energiasäästumeetmete eesmärk ehk nn üldine energiasäästukohustus;</w:t>
      </w:r>
    </w:p>
    <w:p w14:paraId="30D36529" w14:textId="77777777" w:rsidR="00B731C3" w:rsidRPr="00BA53D9" w:rsidRDefault="00B731C3" w:rsidP="00B731C3">
      <w:pPr>
        <w:pStyle w:val="Loendilik"/>
        <w:numPr>
          <w:ilvl w:val="0"/>
          <w:numId w:val="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avaliku sektori asutuste üldine energia kokkuhoid ja avaliku sektori </w:t>
      </w:r>
      <w:r w:rsidRPr="00B775E6">
        <w:rPr>
          <w:rFonts w:ascii="Times New Roman" w:hAnsi="Times New Roman" w:cs="Times New Roman"/>
          <w:sz w:val="24"/>
          <w:szCs w:val="24"/>
        </w:rPr>
        <w:t>asutuste omandis</w:t>
      </w:r>
      <w:r>
        <w:rPr>
          <w:rFonts w:ascii="Times New Roman" w:hAnsi="Times New Roman" w:cs="Times New Roman"/>
          <w:sz w:val="24"/>
          <w:szCs w:val="24"/>
        </w:rPr>
        <w:t xml:space="preserve"> </w:t>
      </w:r>
      <w:r w:rsidRPr="00BA53D9">
        <w:rPr>
          <w:rFonts w:ascii="Times New Roman" w:hAnsi="Times New Roman" w:cs="Times New Roman"/>
          <w:sz w:val="24"/>
          <w:szCs w:val="24"/>
        </w:rPr>
        <w:t>olevate hoonete rekonstrueerimise eesmärk.</w:t>
      </w:r>
    </w:p>
    <w:p w14:paraId="38DCA9BD" w14:textId="77777777" w:rsidR="00B731C3" w:rsidRDefault="00B731C3" w:rsidP="00B731C3">
      <w:pPr>
        <w:spacing w:after="0" w:line="240" w:lineRule="auto"/>
        <w:jc w:val="both"/>
        <w:rPr>
          <w:rFonts w:ascii="Times New Roman" w:hAnsi="Times New Roman" w:cs="Times New Roman"/>
          <w:sz w:val="24"/>
          <w:szCs w:val="24"/>
        </w:rPr>
      </w:pPr>
    </w:p>
    <w:p w14:paraId="04689B52" w14:textId="77777777" w:rsidR="00B731C3" w:rsidRDefault="00B731C3" w:rsidP="00B731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Direktiiviga kehtestavaid kohustusi ja soovitusi kajastatakse riiklikus energia ja kliimakavas 2030 (REKK 2030). Alates on 2023. aastast on liikmesriikidel iga kahe aasta järel kohustus esitada Euroopa Komisjonile riikliku energia ja kliimakava eduaruandeid, mis kirjeldavad riiklikke meetmeid, tegevusi ja edusamme liidu ühise eesmärgi saavutamiseks ja riikliku kumulatiivse energiasäästu saavutamisel. </w:t>
      </w:r>
      <w:r w:rsidRPr="007F2B8D">
        <w:rPr>
          <w:rFonts w:ascii="Times New Roman" w:hAnsi="Times New Roman" w:cs="Times New Roman"/>
          <w:sz w:val="24"/>
          <w:szCs w:val="24"/>
        </w:rPr>
        <w:t xml:space="preserve">Eduaruannetes esitatava teabe kriteeriumid </w:t>
      </w:r>
      <w:r>
        <w:rPr>
          <w:rFonts w:ascii="Times New Roman" w:hAnsi="Times New Roman" w:cs="Times New Roman"/>
          <w:sz w:val="24"/>
          <w:szCs w:val="24"/>
        </w:rPr>
        <w:t>sätestatakse rakendusmäärusega 2022/2299</w:t>
      </w:r>
      <w:r>
        <w:rPr>
          <w:rStyle w:val="Allmrkuseviide"/>
          <w:rFonts w:ascii="Times New Roman" w:hAnsi="Times New Roman" w:cs="Times New Roman"/>
          <w:sz w:val="24"/>
          <w:szCs w:val="24"/>
        </w:rPr>
        <w:footnoteReference w:id="4"/>
      </w:r>
      <w:r>
        <w:rPr>
          <w:rFonts w:ascii="Times New Roman" w:hAnsi="Times New Roman" w:cs="Times New Roman"/>
          <w:sz w:val="24"/>
          <w:szCs w:val="24"/>
        </w:rPr>
        <w:t>.</w:t>
      </w:r>
    </w:p>
    <w:p w14:paraId="3C1B3C3B" w14:textId="77777777" w:rsidR="00B731C3" w:rsidRDefault="00B731C3" w:rsidP="00B731C3">
      <w:pPr>
        <w:spacing w:after="0" w:line="240" w:lineRule="auto"/>
        <w:jc w:val="both"/>
        <w:rPr>
          <w:rFonts w:ascii="Times New Roman" w:hAnsi="Times New Roman" w:cs="Times New Roman"/>
          <w:sz w:val="24"/>
          <w:szCs w:val="24"/>
        </w:rPr>
      </w:pPr>
    </w:p>
    <w:p w14:paraId="7BE27A0C" w14:textId="77777777" w:rsidR="00B731C3" w:rsidRDefault="00B731C3" w:rsidP="00B731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Euroopa </w:t>
      </w:r>
      <w:r w:rsidRPr="00A217E4">
        <w:rPr>
          <w:rFonts w:ascii="Times New Roman" w:hAnsi="Times New Roman" w:cs="Times New Roman"/>
          <w:sz w:val="24"/>
          <w:szCs w:val="24"/>
        </w:rPr>
        <w:t xml:space="preserve">Komisjon hindab </w:t>
      </w:r>
      <w:r>
        <w:rPr>
          <w:rFonts w:ascii="Times New Roman" w:hAnsi="Times New Roman" w:cs="Times New Roman"/>
          <w:sz w:val="24"/>
          <w:szCs w:val="24"/>
        </w:rPr>
        <w:t>riiklike energia ja kliimakavade alusel, kas osutatud</w:t>
      </w:r>
      <w:r w:rsidRPr="00A217E4">
        <w:rPr>
          <w:rFonts w:ascii="Times New Roman" w:hAnsi="Times New Roman" w:cs="Times New Roman"/>
          <w:sz w:val="24"/>
          <w:szCs w:val="24"/>
        </w:rPr>
        <w:t xml:space="preserve"> riigisisesed meetmed on piisavad liidu energiatõhususe eesmärkide saavutamiseks. </w:t>
      </w:r>
      <w:r w:rsidRPr="00597287">
        <w:rPr>
          <w:rFonts w:ascii="Times New Roman" w:hAnsi="Times New Roman" w:cs="Times New Roman"/>
          <w:sz w:val="24"/>
          <w:szCs w:val="24"/>
        </w:rPr>
        <w:t xml:space="preserve">Kui komisjon jõuab </w:t>
      </w:r>
      <w:r>
        <w:rPr>
          <w:rFonts w:ascii="Times New Roman" w:hAnsi="Times New Roman" w:cs="Times New Roman"/>
          <w:sz w:val="24"/>
          <w:szCs w:val="24"/>
        </w:rPr>
        <w:t>riikliku energia ja kliimakava</w:t>
      </w:r>
      <w:r w:rsidRPr="00597287">
        <w:rPr>
          <w:rFonts w:ascii="Times New Roman" w:hAnsi="Times New Roman" w:cs="Times New Roman"/>
          <w:sz w:val="24"/>
          <w:szCs w:val="24"/>
        </w:rPr>
        <w:t xml:space="preserve"> hindamise alusel järeldusele, et energiatõhususe panuste täitmisel ei ole </w:t>
      </w:r>
      <w:r>
        <w:rPr>
          <w:rFonts w:ascii="Times New Roman" w:hAnsi="Times New Roman" w:cs="Times New Roman"/>
          <w:sz w:val="24"/>
          <w:szCs w:val="24"/>
        </w:rPr>
        <w:t xml:space="preserve">liikmesriik teinud </w:t>
      </w:r>
      <w:r w:rsidRPr="00597287">
        <w:rPr>
          <w:rFonts w:ascii="Times New Roman" w:hAnsi="Times New Roman" w:cs="Times New Roman"/>
          <w:sz w:val="24"/>
          <w:szCs w:val="24"/>
        </w:rPr>
        <w:t xml:space="preserve">piisavaid edusamme, </w:t>
      </w:r>
      <w:r>
        <w:rPr>
          <w:rFonts w:ascii="Times New Roman" w:hAnsi="Times New Roman" w:cs="Times New Roman"/>
          <w:sz w:val="24"/>
          <w:szCs w:val="24"/>
        </w:rPr>
        <w:t xml:space="preserve">peab liikmesriik, kes </w:t>
      </w:r>
      <w:r w:rsidRPr="00597287">
        <w:rPr>
          <w:rFonts w:ascii="Times New Roman" w:hAnsi="Times New Roman" w:cs="Times New Roman"/>
          <w:sz w:val="24"/>
          <w:szCs w:val="24"/>
        </w:rPr>
        <w:t>energia lõpptarbimise trajektoore ületa</w:t>
      </w:r>
      <w:r>
        <w:rPr>
          <w:rFonts w:ascii="Times New Roman" w:hAnsi="Times New Roman" w:cs="Times New Roman"/>
          <w:sz w:val="24"/>
          <w:szCs w:val="24"/>
        </w:rPr>
        <w:t xml:space="preserve">b, </w:t>
      </w:r>
      <w:r w:rsidRPr="00597287">
        <w:rPr>
          <w:rFonts w:ascii="Times New Roman" w:hAnsi="Times New Roman" w:cs="Times New Roman"/>
          <w:sz w:val="24"/>
          <w:szCs w:val="24"/>
        </w:rPr>
        <w:t>ühe aasta jooksul pärast komisjoni</w:t>
      </w:r>
      <w:r>
        <w:rPr>
          <w:rFonts w:ascii="Times New Roman" w:hAnsi="Times New Roman" w:cs="Times New Roman"/>
          <w:sz w:val="24"/>
          <w:szCs w:val="24"/>
        </w:rPr>
        <w:t>lt</w:t>
      </w:r>
      <w:r w:rsidRPr="00597287">
        <w:rPr>
          <w:rFonts w:ascii="Times New Roman" w:hAnsi="Times New Roman" w:cs="Times New Roman"/>
          <w:sz w:val="24"/>
          <w:szCs w:val="24"/>
        </w:rPr>
        <w:t xml:space="preserve"> hinnangu saamist rakenda</w:t>
      </w:r>
      <w:r>
        <w:rPr>
          <w:rFonts w:ascii="Times New Roman" w:hAnsi="Times New Roman" w:cs="Times New Roman"/>
          <w:sz w:val="24"/>
          <w:szCs w:val="24"/>
        </w:rPr>
        <w:t>ma</w:t>
      </w:r>
      <w:r w:rsidRPr="00597287">
        <w:rPr>
          <w:rFonts w:ascii="Times New Roman" w:hAnsi="Times New Roman" w:cs="Times New Roman"/>
          <w:sz w:val="24"/>
          <w:szCs w:val="24"/>
        </w:rPr>
        <w:t xml:space="preserve"> lisameetmeid, et</w:t>
      </w:r>
      <w:r>
        <w:rPr>
          <w:rFonts w:ascii="Times New Roman" w:hAnsi="Times New Roman" w:cs="Times New Roman"/>
          <w:sz w:val="24"/>
          <w:szCs w:val="24"/>
        </w:rPr>
        <w:t xml:space="preserve"> riigi</w:t>
      </w:r>
      <w:r w:rsidRPr="00597287">
        <w:rPr>
          <w:rFonts w:ascii="Times New Roman" w:hAnsi="Times New Roman" w:cs="Times New Roman"/>
          <w:sz w:val="24"/>
          <w:szCs w:val="24"/>
        </w:rPr>
        <w:t xml:space="preserve"> energiatõhususe panuste saavutamine taastuks.</w:t>
      </w:r>
    </w:p>
    <w:p w14:paraId="3A711DAA" w14:textId="77777777" w:rsidR="00B731C3" w:rsidRDefault="00B731C3" w:rsidP="00B731C3">
      <w:pPr>
        <w:spacing w:after="0" w:line="240" w:lineRule="auto"/>
        <w:jc w:val="both"/>
        <w:rPr>
          <w:rFonts w:ascii="Times New Roman" w:hAnsi="Times New Roman" w:cs="Times New Roman"/>
          <w:sz w:val="24"/>
          <w:szCs w:val="24"/>
        </w:rPr>
      </w:pPr>
    </w:p>
    <w:p w14:paraId="208BCD9D" w14:textId="77777777" w:rsidR="00B731C3" w:rsidRPr="00076FC8" w:rsidRDefault="00B731C3" w:rsidP="00B731C3">
      <w:pPr>
        <w:spacing w:after="0" w:line="240" w:lineRule="auto"/>
        <w:jc w:val="both"/>
        <w:rPr>
          <w:rFonts w:ascii="Times New Roman" w:hAnsi="Times New Roman" w:cs="Times New Roman"/>
          <w:b/>
          <w:bCs/>
          <w:sz w:val="24"/>
          <w:szCs w:val="24"/>
        </w:rPr>
      </w:pPr>
      <w:r w:rsidRPr="00076FC8">
        <w:rPr>
          <w:rFonts w:ascii="Times New Roman" w:hAnsi="Times New Roman" w:cs="Times New Roman"/>
          <w:b/>
          <w:bCs/>
          <w:sz w:val="24"/>
          <w:szCs w:val="24"/>
        </w:rPr>
        <w:t>2.1</w:t>
      </w:r>
      <w:r>
        <w:rPr>
          <w:rFonts w:ascii="Times New Roman" w:hAnsi="Times New Roman" w:cs="Times New Roman"/>
          <w:b/>
          <w:bCs/>
          <w:sz w:val="24"/>
          <w:szCs w:val="24"/>
        </w:rPr>
        <w:t>.</w:t>
      </w:r>
      <w:r w:rsidRPr="00076FC8">
        <w:rPr>
          <w:rFonts w:ascii="Times New Roman" w:hAnsi="Times New Roman" w:cs="Times New Roman"/>
          <w:b/>
          <w:bCs/>
          <w:sz w:val="24"/>
          <w:szCs w:val="24"/>
        </w:rPr>
        <w:t xml:space="preserve"> Riigi üldine energiatõhususe eesmärk</w:t>
      </w:r>
      <w:r>
        <w:rPr>
          <w:rFonts w:ascii="Times New Roman" w:hAnsi="Times New Roman" w:cs="Times New Roman"/>
          <w:b/>
          <w:bCs/>
          <w:sz w:val="24"/>
          <w:szCs w:val="24"/>
        </w:rPr>
        <w:t>, et saavutada liidu üldeesmärke</w:t>
      </w:r>
    </w:p>
    <w:p w14:paraId="2E5BC51F" w14:textId="77777777" w:rsidR="00B731C3" w:rsidRDefault="00B731C3" w:rsidP="00B731C3">
      <w:pPr>
        <w:spacing w:after="0" w:line="240" w:lineRule="auto"/>
        <w:jc w:val="both"/>
        <w:rPr>
          <w:rFonts w:ascii="Times New Roman" w:hAnsi="Times New Roman" w:cs="Times New Roman"/>
          <w:sz w:val="24"/>
          <w:szCs w:val="24"/>
        </w:rPr>
      </w:pPr>
    </w:p>
    <w:p w14:paraId="11A5FBE0" w14:textId="77777777" w:rsidR="00B731C3" w:rsidRDefault="00B731C3" w:rsidP="00B731C3">
      <w:pPr>
        <w:spacing w:after="0" w:line="240" w:lineRule="auto"/>
        <w:jc w:val="both"/>
        <w:rPr>
          <w:rFonts w:ascii="Times New Roman" w:hAnsi="Times New Roman" w:cs="Times New Roman"/>
          <w:sz w:val="24"/>
          <w:szCs w:val="24"/>
        </w:rPr>
      </w:pPr>
      <w:r w:rsidRPr="0030338F">
        <w:rPr>
          <w:rFonts w:ascii="Times New Roman" w:hAnsi="Times New Roman" w:cs="Times New Roman"/>
          <w:sz w:val="24"/>
          <w:szCs w:val="24"/>
        </w:rPr>
        <w:t>Direktiivis (EL) 2023/1791 seati liidule eesmärk tarbida 2030. aastal vähemalt 11,7% vähem energiat võrreldes 2020. aasta ELi võrdlusstsenaariumi prognoosidega, mille kohaselt ulatub primaarenergia tarbimine 2030. aastal 1124 miljoni naftaekvivalenttonnini ja energia lõpptarbimine 864 miljoni naftaekvivalenttonnini. Se</w:t>
      </w:r>
      <w:r>
        <w:rPr>
          <w:rFonts w:ascii="Times New Roman" w:hAnsi="Times New Roman" w:cs="Times New Roman"/>
          <w:sz w:val="24"/>
          <w:szCs w:val="24"/>
        </w:rPr>
        <w:t>etõttu</w:t>
      </w:r>
      <w:r w:rsidRPr="0030338F">
        <w:rPr>
          <w:rFonts w:ascii="Times New Roman" w:hAnsi="Times New Roman" w:cs="Times New Roman"/>
          <w:sz w:val="24"/>
          <w:szCs w:val="24"/>
        </w:rPr>
        <w:t xml:space="preserve"> on liidu 2030. aasta soovituslik primaarenergia tarbimise eesmärk 992,5 miljonit naftaekvivalenttonni ja siduv energia lõpptarbimise eesmärk 763 miljonit naftaekvivalenttonni.</w:t>
      </w:r>
    </w:p>
    <w:p w14:paraId="27BC6A09" w14:textId="77777777" w:rsidR="00B731C3" w:rsidRDefault="00B731C3" w:rsidP="00B731C3">
      <w:pPr>
        <w:spacing w:after="0" w:line="240" w:lineRule="auto"/>
        <w:jc w:val="both"/>
        <w:rPr>
          <w:rFonts w:ascii="Times New Roman" w:hAnsi="Times New Roman" w:cs="Times New Roman"/>
          <w:sz w:val="24"/>
          <w:szCs w:val="24"/>
        </w:rPr>
      </w:pPr>
    </w:p>
    <w:p w14:paraId="023CB4D0" w14:textId="77777777" w:rsidR="00B731C3" w:rsidRDefault="00B731C3" w:rsidP="00B731C3">
      <w:pPr>
        <w:spacing w:after="0" w:line="240" w:lineRule="auto"/>
        <w:jc w:val="both"/>
        <w:rPr>
          <w:rFonts w:ascii="Times New Roman" w:hAnsi="Times New Roman" w:cs="Times New Roman"/>
          <w:sz w:val="24"/>
          <w:szCs w:val="24"/>
        </w:rPr>
      </w:pPr>
      <w:r w:rsidRPr="007F2B8D">
        <w:rPr>
          <w:rFonts w:ascii="Times New Roman" w:hAnsi="Times New Roman" w:cs="Times New Roman"/>
          <w:sz w:val="24"/>
          <w:szCs w:val="24"/>
        </w:rPr>
        <w:t>Eesti</w:t>
      </w:r>
      <w:r>
        <w:rPr>
          <w:rFonts w:ascii="Times New Roman" w:hAnsi="Times New Roman" w:cs="Times New Roman"/>
          <w:sz w:val="24"/>
          <w:szCs w:val="24"/>
        </w:rPr>
        <w:t>,</w:t>
      </w:r>
      <w:r w:rsidRPr="074719B2">
        <w:rPr>
          <w:rFonts w:ascii="Times New Roman" w:hAnsi="Times New Roman" w:cs="Times New Roman"/>
          <w:sz w:val="24"/>
          <w:szCs w:val="24"/>
        </w:rPr>
        <w:t xml:space="preserve"> </w:t>
      </w:r>
      <w:r w:rsidRPr="01F65553">
        <w:rPr>
          <w:rFonts w:ascii="Times New Roman" w:hAnsi="Times New Roman" w:cs="Times New Roman"/>
          <w:sz w:val="24"/>
          <w:szCs w:val="24"/>
        </w:rPr>
        <w:t>s</w:t>
      </w:r>
      <w:r>
        <w:rPr>
          <w:rFonts w:ascii="Times New Roman" w:hAnsi="Times New Roman" w:cs="Times New Roman"/>
          <w:sz w:val="24"/>
          <w:szCs w:val="24"/>
        </w:rPr>
        <w:t>amuti</w:t>
      </w:r>
      <w:r w:rsidRPr="21CF54D5">
        <w:rPr>
          <w:rFonts w:ascii="Times New Roman" w:hAnsi="Times New Roman" w:cs="Times New Roman"/>
          <w:sz w:val="24"/>
          <w:szCs w:val="24"/>
        </w:rPr>
        <w:t xml:space="preserve"> teised liikmesriigid peavad</w:t>
      </w:r>
      <w:r w:rsidRPr="007F2B8D">
        <w:rPr>
          <w:rFonts w:ascii="Times New Roman" w:hAnsi="Times New Roman" w:cs="Times New Roman"/>
          <w:sz w:val="24"/>
          <w:szCs w:val="24"/>
        </w:rPr>
        <w:t xml:space="preserve"> määrama enda riigisisese energiatõhususe eesmärgi (energiatõhususpanuse EL eesmärgi täitmiseks), millega antakse panus EL</w:t>
      </w:r>
      <w:r>
        <w:rPr>
          <w:rFonts w:ascii="Times New Roman" w:hAnsi="Times New Roman" w:cs="Times New Roman"/>
          <w:sz w:val="24"/>
          <w:szCs w:val="24"/>
        </w:rPr>
        <w:t>i</w:t>
      </w:r>
      <w:r w:rsidRPr="007F2B8D">
        <w:rPr>
          <w:rFonts w:ascii="Times New Roman" w:hAnsi="Times New Roman" w:cs="Times New Roman"/>
          <w:sz w:val="24"/>
          <w:szCs w:val="24"/>
        </w:rPr>
        <w:t xml:space="preserve"> energiatõhususe eesmärgi saavutamiseks. </w:t>
      </w:r>
      <w:r>
        <w:rPr>
          <w:rFonts w:ascii="Times New Roman" w:hAnsi="Times New Roman" w:cs="Times New Roman"/>
          <w:sz w:val="24"/>
          <w:szCs w:val="24"/>
        </w:rPr>
        <w:t xml:space="preserve">Energia </w:t>
      </w:r>
    </w:p>
    <w:p w14:paraId="6DF1455C" w14:textId="77777777" w:rsidR="00B731C3" w:rsidRDefault="00B731C3" w:rsidP="00B731C3">
      <w:pPr>
        <w:spacing w:after="0" w:line="240" w:lineRule="auto"/>
        <w:jc w:val="both"/>
        <w:rPr>
          <w:rFonts w:ascii="Times New Roman" w:hAnsi="Times New Roman" w:cs="Times New Roman"/>
          <w:sz w:val="24"/>
          <w:szCs w:val="24"/>
        </w:rPr>
      </w:pPr>
    </w:p>
    <w:p w14:paraId="5BFEC44C" w14:textId="77777777" w:rsidR="00B731C3" w:rsidRDefault="00B731C3" w:rsidP="00B731C3">
      <w:pPr>
        <w:spacing w:after="0" w:line="240" w:lineRule="auto"/>
        <w:jc w:val="both"/>
        <w:rPr>
          <w:rFonts w:ascii="Times New Roman" w:hAnsi="Times New Roman" w:cs="Times New Roman"/>
          <w:sz w:val="24"/>
          <w:szCs w:val="24"/>
        </w:rPr>
      </w:pPr>
      <w:r w:rsidRPr="007F2B8D">
        <w:rPr>
          <w:rFonts w:ascii="Times New Roman" w:hAnsi="Times New Roman" w:cs="Times New Roman"/>
          <w:sz w:val="24"/>
          <w:szCs w:val="24"/>
        </w:rPr>
        <w:t>Eesti üldiseid energiatõhususe eesmärke käsitleb Vabariigi Valitsuse 20. oktoobri 2017. a korraldusega nr 285 heaks kiidetud „Energiamajanduse arengukava aastani 2030“ (edaspidi ENMAK 2030). ENMAK 2030 rakendamise tulemusena peaks primaarenergia sisemaine tarbimine aastal 2030 olema 10% väiksem kui 2012. aastal (57,7 TWh) ning energia lõpptarbimine pea</w:t>
      </w:r>
      <w:r>
        <w:rPr>
          <w:rFonts w:ascii="Times New Roman" w:hAnsi="Times New Roman" w:cs="Times New Roman"/>
          <w:sz w:val="24"/>
          <w:szCs w:val="24"/>
        </w:rPr>
        <w:t xml:space="preserve">b </w:t>
      </w:r>
      <w:r w:rsidRPr="007F2B8D">
        <w:rPr>
          <w:rFonts w:ascii="Times New Roman" w:hAnsi="Times New Roman" w:cs="Times New Roman"/>
          <w:sz w:val="24"/>
          <w:szCs w:val="24"/>
        </w:rPr>
        <w:t xml:space="preserve">jääma ligikaudu samaks, mis </w:t>
      </w:r>
      <w:r>
        <w:rPr>
          <w:rFonts w:ascii="Times New Roman" w:hAnsi="Times New Roman" w:cs="Times New Roman"/>
          <w:sz w:val="24"/>
          <w:szCs w:val="24"/>
        </w:rPr>
        <w:t xml:space="preserve">oli </w:t>
      </w:r>
      <w:r w:rsidRPr="007F2B8D">
        <w:rPr>
          <w:rFonts w:ascii="Times New Roman" w:hAnsi="Times New Roman" w:cs="Times New Roman"/>
          <w:sz w:val="24"/>
          <w:szCs w:val="24"/>
        </w:rPr>
        <w:t>2010. aastal (~32 TWh).</w:t>
      </w:r>
    </w:p>
    <w:p w14:paraId="57BD7B56" w14:textId="77777777" w:rsidR="00B731C3" w:rsidRDefault="00B731C3" w:rsidP="00B731C3">
      <w:pPr>
        <w:spacing w:after="0" w:line="240" w:lineRule="auto"/>
        <w:jc w:val="both"/>
        <w:rPr>
          <w:rFonts w:ascii="Times New Roman" w:hAnsi="Times New Roman" w:cs="Times New Roman"/>
          <w:sz w:val="24"/>
          <w:szCs w:val="24"/>
        </w:rPr>
      </w:pPr>
    </w:p>
    <w:p w14:paraId="1B318961" w14:textId="77777777" w:rsidR="00B731C3" w:rsidRDefault="00B731C3" w:rsidP="00B731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Kuna energiamajanduse arengukavas saab kehtestada eesmärgid vaid energiasektorile, siis tuleb lõpptarbimise eesmärki kajastada ka teistes arengukavades, sh transport, ehitus ja elamuvaldkond.</w:t>
      </w:r>
    </w:p>
    <w:p w14:paraId="567020BC" w14:textId="77777777" w:rsidR="00B731C3" w:rsidRDefault="00B731C3" w:rsidP="00B731C3">
      <w:pPr>
        <w:spacing w:after="0" w:line="240" w:lineRule="auto"/>
        <w:jc w:val="both"/>
        <w:rPr>
          <w:rFonts w:ascii="Times New Roman" w:hAnsi="Times New Roman" w:cs="Times New Roman"/>
          <w:sz w:val="24"/>
          <w:szCs w:val="24"/>
        </w:rPr>
      </w:pPr>
      <w:r w:rsidRPr="007F2B8D">
        <w:rPr>
          <w:rFonts w:ascii="Times New Roman" w:hAnsi="Times New Roman" w:cs="Times New Roman"/>
          <w:sz w:val="24"/>
          <w:szCs w:val="24"/>
        </w:rPr>
        <w:t>Riigi üldist energiatõhususe eesmärki on kirjeldatud EL</w:t>
      </w:r>
      <w:r>
        <w:rPr>
          <w:rFonts w:ascii="Times New Roman" w:hAnsi="Times New Roman" w:cs="Times New Roman"/>
          <w:sz w:val="24"/>
          <w:szCs w:val="24"/>
        </w:rPr>
        <w:t>i</w:t>
      </w:r>
      <w:r w:rsidRPr="007F2B8D">
        <w:rPr>
          <w:rFonts w:ascii="Times New Roman" w:hAnsi="Times New Roman" w:cs="Times New Roman"/>
          <w:sz w:val="24"/>
          <w:szCs w:val="24"/>
        </w:rPr>
        <w:t xml:space="preserve"> energialiidu ja kliimameetmete juhtimise määruse (EL) 2018/1999 (edaspidi määrus 2018/1999) alusel koostatud arengudokumendi eelnõus „Riiklik energia- ja kliimakava aastani 2030“, mis esitati Euroopa Komisjonile 28.12.2018.</w:t>
      </w:r>
    </w:p>
    <w:p w14:paraId="26A4A59D" w14:textId="77777777" w:rsidR="00B731C3" w:rsidRDefault="00B731C3" w:rsidP="00B731C3">
      <w:pPr>
        <w:spacing w:after="0" w:line="240" w:lineRule="auto"/>
        <w:jc w:val="both"/>
        <w:rPr>
          <w:rFonts w:ascii="Times New Roman" w:hAnsi="Times New Roman" w:cs="Times New Roman"/>
          <w:sz w:val="24"/>
          <w:szCs w:val="24"/>
        </w:rPr>
      </w:pPr>
    </w:p>
    <w:p w14:paraId="15723F4B" w14:textId="77777777" w:rsidR="00B731C3" w:rsidRDefault="00B731C3" w:rsidP="00B731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w:t>
      </w:r>
      <w:r w:rsidRPr="00784061">
        <w:rPr>
          <w:rFonts w:ascii="Times New Roman" w:hAnsi="Times New Roman" w:cs="Times New Roman"/>
          <w:sz w:val="24"/>
          <w:szCs w:val="24"/>
        </w:rPr>
        <w:t xml:space="preserve">irektiivi (EL) 2023/1791 artikli 4 lõike 5 </w:t>
      </w:r>
      <w:r>
        <w:rPr>
          <w:rFonts w:ascii="Times New Roman" w:hAnsi="Times New Roman" w:cs="Times New Roman"/>
          <w:sz w:val="24"/>
          <w:szCs w:val="24"/>
        </w:rPr>
        <w:t xml:space="preserve">alusel </w:t>
      </w:r>
      <w:r w:rsidRPr="00784061">
        <w:rPr>
          <w:rFonts w:ascii="Times New Roman" w:hAnsi="Times New Roman" w:cs="Times New Roman"/>
          <w:sz w:val="24"/>
          <w:szCs w:val="24"/>
        </w:rPr>
        <w:t>ajakohastas komisjon 2020. aasta võrdlusstsenaariumi Eurostati kõige uuemate andmete alusel.</w:t>
      </w:r>
    </w:p>
    <w:p w14:paraId="5AF2F01E" w14:textId="77777777" w:rsidR="00B731C3" w:rsidRDefault="00B731C3" w:rsidP="00B731C3">
      <w:pPr>
        <w:spacing w:after="0" w:line="240" w:lineRule="auto"/>
        <w:jc w:val="both"/>
        <w:rPr>
          <w:rFonts w:ascii="Times New Roman" w:hAnsi="Times New Roman" w:cs="Times New Roman"/>
          <w:sz w:val="24"/>
          <w:szCs w:val="24"/>
        </w:rPr>
      </w:pPr>
    </w:p>
    <w:p w14:paraId="34F2A0DE" w14:textId="77777777" w:rsidR="00B731C3" w:rsidRPr="00862DD3" w:rsidRDefault="00B731C3" w:rsidP="00B731C3">
      <w:pPr>
        <w:spacing w:after="0" w:line="240" w:lineRule="auto"/>
        <w:jc w:val="both"/>
        <w:rPr>
          <w:rFonts w:ascii="Times New Roman" w:hAnsi="Times New Roman" w:cs="Times New Roman"/>
          <w:sz w:val="24"/>
          <w:szCs w:val="24"/>
        </w:rPr>
      </w:pPr>
      <w:r w:rsidRPr="00862DD3">
        <w:rPr>
          <w:rFonts w:ascii="Times New Roman" w:hAnsi="Times New Roman" w:cs="Times New Roman"/>
          <w:sz w:val="24"/>
          <w:szCs w:val="24"/>
        </w:rPr>
        <w:t xml:space="preserve">Komisjon hindas 2023. aasta detsembris kooskõlas määrusega (EL) 2018/1999 riiklike energia- ja kliimakavade ajakohastatud versioonide kavandeid ning hindas, kas liikmesriikide ühine </w:t>
      </w:r>
      <w:r w:rsidRPr="00862DD3">
        <w:rPr>
          <w:rFonts w:ascii="Times New Roman" w:hAnsi="Times New Roman" w:cs="Times New Roman"/>
          <w:sz w:val="24"/>
          <w:szCs w:val="24"/>
        </w:rPr>
        <w:lastRenderedPageBreak/>
        <w:t>panus on vähemalt võrdne liidu siduva energia lõpptarbimise eesmärgiga ja kas liikmesriikide ühine panus on vähemalt võrdne liidu soovitusliku primaarenergia tarbimise eesmärgiga.</w:t>
      </w:r>
    </w:p>
    <w:p w14:paraId="5B1222B0" w14:textId="77777777" w:rsidR="00B731C3" w:rsidRDefault="00B731C3" w:rsidP="00B731C3">
      <w:pPr>
        <w:spacing w:after="0" w:line="240" w:lineRule="auto"/>
        <w:jc w:val="both"/>
        <w:rPr>
          <w:rFonts w:ascii="Times New Roman" w:hAnsi="Times New Roman" w:cs="Times New Roman"/>
          <w:sz w:val="24"/>
          <w:szCs w:val="24"/>
        </w:rPr>
      </w:pPr>
      <w:r w:rsidRPr="00862DD3">
        <w:rPr>
          <w:rFonts w:ascii="Times New Roman" w:hAnsi="Times New Roman" w:cs="Times New Roman"/>
          <w:sz w:val="24"/>
          <w:szCs w:val="24"/>
        </w:rPr>
        <w:t xml:space="preserve">Kuna energia lõpptarbimise puhul ei olnud soovituslike riiklike panuste summa liidu siduva eesmärgini jõudmiseks piisav, esitas komisjon </w:t>
      </w:r>
      <w:r>
        <w:rPr>
          <w:rFonts w:ascii="Times New Roman" w:hAnsi="Times New Roman" w:cs="Times New Roman"/>
          <w:sz w:val="24"/>
          <w:szCs w:val="24"/>
        </w:rPr>
        <w:t xml:space="preserve">17.06.2024 </w:t>
      </w:r>
      <w:r w:rsidRPr="00862DD3">
        <w:rPr>
          <w:rFonts w:ascii="Times New Roman" w:hAnsi="Times New Roman" w:cs="Times New Roman"/>
          <w:sz w:val="24"/>
          <w:szCs w:val="24"/>
        </w:rPr>
        <w:t>kooskõlas määruse (EL) 2018/1999 artikliga 34 riigipõhised soovitused</w:t>
      </w:r>
      <w:r>
        <w:rPr>
          <w:rStyle w:val="Allmrkuseviide"/>
          <w:rFonts w:ascii="Times New Roman" w:hAnsi="Times New Roman" w:cs="Times New Roman"/>
          <w:sz w:val="24"/>
          <w:szCs w:val="24"/>
        </w:rPr>
        <w:footnoteReference w:id="5"/>
      </w:r>
      <w:r w:rsidRPr="00862DD3">
        <w:rPr>
          <w:rFonts w:ascii="Times New Roman" w:hAnsi="Times New Roman" w:cs="Times New Roman"/>
          <w:sz w:val="24"/>
          <w:szCs w:val="24"/>
        </w:rPr>
        <w:t>, s</w:t>
      </w:r>
      <w:r>
        <w:rPr>
          <w:rFonts w:ascii="Times New Roman" w:hAnsi="Times New Roman" w:cs="Times New Roman"/>
          <w:sz w:val="24"/>
          <w:szCs w:val="24"/>
        </w:rPr>
        <w:t>h</w:t>
      </w:r>
      <w:r w:rsidRPr="00862DD3">
        <w:rPr>
          <w:rFonts w:ascii="Times New Roman" w:hAnsi="Times New Roman" w:cs="Times New Roman"/>
          <w:sz w:val="24"/>
          <w:szCs w:val="24"/>
        </w:rPr>
        <w:t xml:space="preserve"> selle kohta, et liikmesriikide riiklikku panust tuleks suurendada</w:t>
      </w:r>
      <w:r>
        <w:rPr>
          <w:rFonts w:ascii="Times New Roman" w:hAnsi="Times New Roman" w:cs="Times New Roman"/>
          <w:sz w:val="24"/>
          <w:szCs w:val="24"/>
        </w:rPr>
        <w:t>.</w:t>
      </w:r>
    </w:p>
    <w:p w14:paraId="61C9A30F" w14:textId="77777777" w:rsidR="00B731C3" w:rsidRPr="00922054" w:rsidRDefault="00B731C3" w:rsidP="00B731C3">
      <w:pPr>
        <w:spacing w:after="0" w:line="240" w:lineRule="auto"/>
        <w:jc w:val="both"/>
        <w:rPr>
          <w:rFonts w:ascii="Times New Roman" w:hAnsi="Times New Roman" w:cs="Times New Roman"/>
          <w:sz w:val="24"/>
          <w:szCs w:val="24"/>
        </w:rPr>
      </w:pPr>
      <w:r w:rsidRPr="00922054">
        <w:rPr>
          <w:rFonts w:ascii="Times New Roman" w:hAnsi="Times New Roman" w:cs="Times New Roman"/>
          <w:sz w:val="24"/>
          <w:szCs w:val="24"/>
        </w:rPr>
        <w:t>Tabel 1. Eesti ajakohastatud 2020. aasta võrdlusstsenaarium ja sellest tulenevad muutused</w:t>
      </w:r>
    </w:p>
    <w:tbl>
      <w:tblPr>
        <w:tblStyle w:val="Kontuurtabel"/>
        <w:tblW w:w="0" w:type="auto"/>
        <w:tblLook w:val="04A0" w:firstRow="1" w:lastRow="0" w:firstColumn="1" w:lastColumn="0" w:noHBand="0" w:noVBand="1"/>
      </w:tblPr>
      <w:tblGrid>
        <w:gridCol w:w="5665"/>
        <w:gridCol w:w="1560"/>
        <w:gridCol w:w="1837"/>
      </w:tblGrid>
      <w:tr w:rsidR="00B731C3" w14:paraId="5CE6A470" w14:textId="77777777" w:rsidTr="00A13E67">
        <w:tc>
          <w:tcPr>
            <w:tcW w:w="5665" w:type="dxa"/>
          </w:tcPr>
          <w:p w14:paraId="0F817096" w14:textId="77777777" w:rsidR="00B731C3" w:rsidRPr="00430AC9" w:rsidRDefault="00B731C3" w:rsidP="00A13E67">
            <w:pPr>
              <w:jc w:val="center"/>
              <w:rPr>
                <w:rFonts w:ascii="Times New Roman" w:hAnsi="Times New Roman" w:cs="Times New Roman"/>
                <w:sz w:val="24"/>
                <w:szCs w:val="24"/>
              </w:rPr>
            </w:pPr>
            <w:r w:rsidRPr="00430AC9">
              <w:rPr>
                <w:rFonts w:ascii="Times New Roman" w:hAnsi="Times New Roman" w:cs="Times New Roman"/>
                <w:sz w:val="24"/>
                <w:szCs w:val="24"/>
              </w:rPr>
              <w:t>Mõõdikud</w:t>
            </w:r>
          </w:p>
        </w:tc>
        <w:tc>
          <w:tcPr>
            <w:tcW w:w="1560" w:type="dxa"/>
          </w:tcPr>
          <w:p w14:paraId="73C8E0D0" w14:textId="77777777" w:rsidR="00B731C3" w:rsidRPr="00430AC9" w:rsidRDefault="00B731C3" w:rsidP="00A13E67">
            <w:pPr>
              <w:jc w:val="center"/>
              <w:rPr>
                <w:rFonts w:ascii="Times New Roman" w:hAnsi="Times New Roman" w:cs="Times New Roman"/>
                <w:sz w:val="24"/>
                <w:szCs w:val="24"/>
              </w:rPr>
            </w:pPr>
            <w:r w:rsidRPr="00430AC9">
              <w:rPr>
                <w:rFonts w:ascii="Times New Roman" w:hAnsi="Times New Roman" w:cs="Times New Roman"/>
                <w:sz w:val="24"/>
                <w:szCs w:val="24"/>
              </w:rPr>
              <w:t>Algtase</w:t>
            </w:r>
          </w:p>
        </w:tc>
        <w:tc>
          <w:tcPr>
            <w:tcW w:w="1837" w:type="dxa"/>
          </w:tcPr>
          <w:p w14:paraId="7C657FD9" w14:textId="77777777" w:rsidR="00B731C3" w:rsidRPr="00430AC9" w:rsidRDefault="00B731C3" w:rsidP="00A13E67">
            <w:pPr>
              <w:jc w:val="center"/>
              <w:rPr>
                <w:rFonts w:ascii="Times New Roman" w:hAnsi="Times New Roman" w:cs="Times New Roman"/>
                <w:sz w:val="24"/>
                <w:szCs w:val="24"/>
              </w:rPr>
            </w:pPr>
            <w:r w:rsidRPr="00430AC9">
              <w:rPr>
                <w:rFonts w:ascii="Times New Roman" w:hAnsi="Times New Roman" w:cs="Times New Roman"/>
                <w:sz w:val="24"/>
                <w:szCs w:val="24"/>
              </w:rPr>
              <w:t>Sihttase</w:t>
            </w:r>
          </w:p>
        </w:tc>
      </w:tr>
      <w:tr w:rsidR="00B731C3" w14:paraId="69030B9C" w14:textId="77777777" w:rsidTr="00A13E67">
        <w:tc>
          <w:tcPr>
            <w:tcW w:w="5665" w:type="dxa"/>
          </w:tcPr>
          <w:p w14:paraId="173F393A" w14:textId="77777777" w:rsidR="00B731C3" w:rsidRPr="00430AC9" w:rsidRDefault="00B731C3" w:rsidP="00A13E67">
            <w:pPr>
              <w:rPr>
                <w:rFonts w:ascii="Times New Roman" w:hAnsi="Times New Roman" w:cs="Times New Roman"/>
                <w:sz w:val="24"/>
                <w:szCs w:val="24"/>
              </w:rPr>
            </w:pPr>
            <w:r w:rsidRPr="00430AC9">
              <w:rPr>
                <w:rFonts w:ascii="Times New Roman" w:hAnsi="Times New Roman" w:cs="Times New Roman"/>
                <w:sz w:val="24"/>
                <w:szCs w:val="24"/>
              </w:rPr>
              <w:t>Energia lõpptarbimine, TWh/a (</w:t>
            </w:r>
            <w:r>
              <w:rPr>
                <w:rFonts w:ascii="Times New Roman" w:hAnsi="Times New Roman" w:cs="Times New Roman"/>
                <w:sz w:val="24"/>
                <w:szCs w:val="24"/>
              </w:rPr>
              <w:t>ligikaudne</w:t>
            </w:r>
            <w:r w:rsidRPr="00430AC9">
              <w:rPr>
                <w:rFonts w:ascii="Times New Roman" w:hAnsi="Times New Roman" w:cs="Times New Roman"/>
                <w:sz w:val="24"/>
                <w:szCs w:val="24"/>
              </w:rPr>
              <w:t xml:space="preserve"> sihttase)</w:t>
            </w:r>
          </w:p>
        </w:tc>
        <w:tc>
          <w:tcPr>
            <w:tcW w:w="1560" w:type="dxa"/>
          </w:tcPr>
          <w:p w14:paraId="6F83260E" w14:textId="77777777" w:rsidR="00B731C3" w:rsidRPr="00430AC9" w:rsidRDefault="00B731C3" w:rsidP="00A13E67">
            <w:pPr>
              <w:jc w:val="center"/>
              <w:rPr>
                <w:rFonts w:ascii="Times New Roman" w:hAnsi="Times New Roman" w:cs="Times New Roman"/>
                <w:sz w:val="24"/>
                <w:szCs w:val="24"/>
              </w:rPr>
            </w:pPr>
            <w:r w:rsidRPr="00430AC9">
              <w:rPr>
                <w:rFonts w:ascii="Times New Roman" w:hAnsi="Times New Roman" w:cs="Times New Roman"/>
                <w:sz w:val="24"/>
                <w:szCs w:val="24"/>
              </w:rPr>
              <w:t>2022</w:t>
            </w:r>
            <w:r>
              <w:rPr>
                <w:rFonts w:ascii="Times New Roman" w:hAnsi="Times New Roman" w:cs="Times New Roman"/>
                <w:sz w:val="24"/>
                <w:szCs w:val="24"/>
              </w:rPr>
              <w:t xml:space="preserve"> - </w:t>
            </w:r>
            <w:r w:rsidRPr="00430AC9">
              <w:rPr>
                <w:rFonts w:ascii="Times New Roman" w:hAnsi="Times New Roman" w:cs="Times New Roman"/>
                <w:sz w:val="24"/>
                <w:szCs w:val="24"/>
              </w:rPr>
              <w:t>32,6</w:t>
            </w:r>
          </w:p>
        </w:tc>
        <w:tc>
          <w:tcPr>
            <w:tcW w:w="1837" w:type="dxa"/>
          </w:tcPr>
          <w:p w14:paraId="1557EBF0" w14:textId="77777777" w:rsidR="00B731C3" w:rsidRPr="00430AC9" w:rsidRDefault="00B731C3" w:rsidP="00A13E67">
            <w:pPr>
              <w:jc w:val="center"/>
              <w:rPr>
                <w:rFonts w:ascii="Times New Roman" w:hAnsi="Times New Roman" w:cs="Times New Roman"/>
                <w:sz w:val="24"/>
                <w:szCs w:val="24"/>
              </w:rPr>
            </w:pPr>
            <w:r w:rsidRPr="00430AC9">
              <w:rPr>
                <w:rFonts w:ascii="Times New Roman" w:hAnsi="Times New Roman" w:cs="Times New Roman"/>
                <w:sz w:val="24"/>
                <w:szCs w:val="24"/>
              </w:rPr>
              <w:t>2030</w:t>
            </w:r>
            <w:r>
              <w:rPr>
                <w:rFonts w:ascii="Times New Roman" w:hAnsi="Times New Roman" w:cs="Times New Roman"/>
                <w:sz w:val="24"/>
                <w:szCs w:val="24"/>
              </w:rPr>
              <w:t xml:space="preserve"> - </w:t>
            </w:r>
            <w:r w:rsidRPr="00430AC9">
              <w:rPr>
                <w:rFonts w:ascii="Times New Roman" w:hAnsi="Times New Roman" w:cs="Times New Roman"/>
                <w:sz w:val="24"/>
                <w:szCs w:val="24"/>
              </w:rPr>
              <w:t>29,4</w:t>
            </w:r>
          </w:p>
        </w:tc>
      </w:tr>
      <w:tr w:rsidR="00B731C3" w14:paraId="3B487815" w14:textId="77777777" w:rsidTr="00A13E67">
        <w:tc>
          <w:tcPr>
            <w:tcW w:w="5665" w:type="dxa"/>
          </w:tcPr>
          <w:p w14:paraId="34E14D11" w14:textId="77777777" w:rsidR="00B731C3" w:rsidRPr="00430AC9" w:rsidRDefault="00B731C3" w:rsidP="00A13E67">
            <w:pPr>
              <w:rPr>
                <w:rFonts w:ascii="Times New Roman" w:hAnsi="Times New Roman" w:cs="Times New Roman"/>
                <w:sz w:val="24"/>
                <w:szCs w:val="24"/>
              </w:rPr>
            </w:pPr>
            <w:r>
              <w:rPr>
                <w:rFonts w:ascii="Times New Roman" w:hAnsi="Times New Roman" w:cs="Times New Roman"/>
                <w:sz w:val="24"/>
                <w:szCs w:val="24"/>
              </w:rPr>
              <w:t>P</w:t>
            </w:r>
            <w:r w:rsidRPr="00430AC9">
              <w:rPr>
                <w:rFonts w:ascii="Times New Roman" w:hAnsi="Times New Roman" w:cs="Times New Roman"/>
                <w:sz w:val="24"/>
                <w:szCs w:val="24"/>
              </w:rPr>
              <w:t>rimaarenergia tarbimine, TWh/a (</w:t>
            </w:r>
            <w:r>
              <w:rPr>
                <w:rFonts w:ascii="Times New Roman" w:hAnsi="Times New Roman" w:cs="Times New Roman"/>
                <w:sz w:val="24"/>
                <w:szCs w:val="24"/>
              </w:rPr>
              <w:t>ligikaudne</w:t>
            </w:r>
            <w:r w:rsidRPr="00430AC9">
              <w:rPr>
                <w:rFonts w:ascii="Times New Roman" w:hAnsi="Times New Roman" w:cs="Times New Roman"/>
                <w:sz w:val="24"/>
                <w:szCs w:val="24"/>
              </w:rPr>
              <w:t xml:space="preserve"> sihttase)</w:t>
            </w:r>
          </w:p>
        </w:tc>
        <w:tc>
          <w:tcPr>
            <w:tcW w:w="1560" w:type="dxa"/>
          </w:tcPr>
          <w:p w14:paraId="42566682" w14:textId="77777777" w:rsidR="00B731C3" w:rsidRPr="00430AC9" w:rsidRDefault="00B731C3" w:rsidP="00A13E67">
            <w:pPr>
              <w:jc w:val="center"/>
              <w:rPr>
                <w:rFonts w:ascii="Times New Roman" w:hAnsi="Times New Roman" w:cs="Times New Roman"/>
                <w:sz w:val="24"/>
                <w:szCs w:val="24"/>
              </w:rPr>
            </w:pPr>
            <w:r w:rsidRPr="00430AC9">
              <w:rPr>
                <w:rFonts w:ascii="Times New Roman" w:hAnsi="Times New Roman" w:cs="Times New Roman"/>
                <w:sz w:val="24"/>
                <w:szCs w:val="24"/>
              </w:rPr>
              <w:t>2022</w:t>
            </w:r>
            <w:r>
              <w:rPr>
                <w:rFonts w:ascii="Times New Roman" w:hAnsi="Times New Roman" w:cs="Times New Roman"/>
                <w:sz w:val="24"/>
                <w:szCs w:val="24"/>
              </w:rPr>
              <w:t xml:space="preserve"> -</w:t>
            </w:r>
            <w:r w:rsidRPr="00430AC9">
              <w:rPr>
                <w:rFonts w:ascii="Times New Roman" w:hAnsi="Times New Roman" w:cs="Times New Roman"/>
                <w:sz w:val="24"/>
                <w:szCs w:val="24"/>
              </w:rPr>
              <w:t xml:space="preserve"> 54,7</w:t>
            </w:r>
          </w:p>
        </w:tc>
        <w:tc>
          <w:tcPr>
            <w:tcW w:w="1837" w:type="dxa"/>
          </w:tcPr>
          <w:p w14:paraId="07A76132" w14:textId="77777777" w:rsidR="00B731C3" w:rsidRPr="00430AC9" w:rsidRDefault="00B731C3" w:rsidP="00A13E67">
            <w:pPr>
              <w:jc w:val="center"/>
              <w:rPr>
                <w:rFonts w:ascii="Times New Roman" w:hAnsi="Times New Roman" w:cs="Times New Roman"/>
                <w:sz w:val="24"/>
                <w:szCs w:val="24"/>
              </w:rPr>
            </w:pPr>
            <w:r w:rsidRPr="00430AC9">
              <w:rPr>
                <w:rFonts w:ascii="Times New Roman" w:hAnsi="Times New Roman" w:cs="Times New Roman"/>
                <w:sz w:val="24"/>
                <w:szCs w:val="24"/>
              </w:rPr>
              <w:t>2030</w:t>
            </w:r>
            <w:r>
              <w:rPr>
                <w:rFonts w:ascii="Times New Roman" w:hAnsi="Times New Roman" w:cs="Times New Roman"/>
                <w:sz w:val="24"/>
                <w:szCs w:val="24"/>
              </w:rPr>
              <w:t xml:space="preserve"> -</w:t>
            </w:r>
            <w:r w:rsidRPr="00430AC9">
              <w:rPr>
                <w:rFonts w:ascii="Times New Roman" w:hAnsi="Times New Roman" w:cs="Times New Roman"/>
                <w:sz w:val="24"/>
                <w:szCs w:val="24"/>
              </w:rPr>
              <w:t xml:space="preserve"> 36,5</w:t>
            </w:r>
          </w:p>
        </w:tc>
      </w:tr>
    </w:tbl>
    <w:p w14:paraId="66338AF4" w14:textId="77777777" w:rsidR="00B731C3" w:rsidRPr="00D702F6" w:rsidRDefault="00B731C3" w:rsidP="00B731C3">
      <w:pPr>
        <w:spacing w:after="0" w:line="240" w:lineRule="auto"/>
        <w:jc w:val="both"/>
        <w:rPr>
          <w:rFonts w:ascii="Times New Roman" w:hAnsi="Times New Roman" w:cs="Times New Roman"/>
          <w:sz w:val="20"/>
          <w:szCs w:val="20"/>
        </w:rPr>
      </w:pPr>
      <w:r w:rsidRPr="00D702F6">
        <w:rPr>
          <w:rFonts w:ascii="Times New Roman" w:hAnsi="Times New Roman" w:cs="Times New Roman"/>
          <w:sz w:val="20"/>
          <w:szCs w:val="20"/>
        </w:rPr>
        <w:t xml:space="preserve">Allikas: </w:t>
      </w:r>
      <w:r>
        <w:rPr>
          <w:rFonts w:ascii="Times New Roman" w:hAnsi="Times New Roman" w:cs="Times New Roman"/>
          <w:sz w:val="20"/>
          <w:szCs w:val="20"/>
        </w:rPr>
        <w:t>ENMAK 2035 eelnõu tabel 2.1</w:t>
      </w:r>
    </w:p>
    <w:p w14:paraId="62669DDC" w14:textId="77777777" w:rsidR="00B731C3" w:rsidRDefault="00B731C3" w:rsidP="00B731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Ajakohastatud 2020 võrdlusstsenaariumi võtab arvesse ka koostamisel olev uus „Energiamajanduse arengukava aastani 2035“</w:t>
      </w:r>
      <w:r>
        <w:rPr>
          <w:rStyle w:val="Allmrkuseviide"/>
          <w:rFonts w:ascii="Times New Roman" w:hAnsi="Times New Roman" w:cs="Times New Roman"/>
          <w:sz w:val="24"/>
          <w:szCs w:val="24"/>
        </w:rPr>
        <w:footnoteReference w:id="6"/>
      </w:r>
      <w:r>
        <w:rPr>
          <w:rFonts w:ascii="Times New Roman" w:hAnsi="Times New Roman" w:cs="Times New Roman"/>
          <w:sz w:val="24"/>
          <w:szCs w:val="24"/>
        </w:rPr>
        <w:t>.</w:t>
      </w:r>
    </w:p>
    <w:p w14:paraId="15C2FE5B" w14:textId="77777777" w:rsidR="00B731C3" w:rsidRPr="007F2B8D" w:rsidRDefault="00B731C3" w:rsidP="00B731C3">
      <w:pPr>
        <w:spacing w:after="0" w:line="240" w:lineRule="auto"/>
        <w:jc w:val="both"/>
        <w:rPr>
          <w:rFonts w:ascii="Times New Roman" w:hAnsi="Times New Roman" w:cs="Times New Roman"/>
          <w:sz w:val="24"/>
          <w:szCs w:val="24"/>
        </w:rPr>
      </w:pPr>
    </w:p>
    <w:p w14:paraId="74A49F14" w14:textId="77777777" w:rsidR="00B731C3" w:rsidRDefault="00B731C3" w:rsidP="00B731C3">
      <w:pPr>
        <w:spacing w:after="0" w:line="240" w:lineRule="auto"/>
        <w:jc w:val="both"/>
        <w:rPr>
          <w:rFonts w:ascii="Times New Roman" w:hAnsi="Times New Roman" w:cs="Times New Roman"/>
          <w:b/>
          <w:bCs/>
          <w:sz w:val="24"/>
          <w:szCs w:val="24"/>
        </w:rPr>
      </w:pPr>
      <w:r w:rsidRPr="00E96F8F">
        <w:rPr>
          <w:rFonts w:ascii="Times New Roman" w:hAnsi="Times New Roman" w:cs="Times New Roman"/>
          <w:b/>
          <w:bCs/>
          <w:sz w:val="24"/>
          <w:szCs w:val="24"/>
        </w:rPr>
        <w:t>2.2</w:t>
      </w:r>
      <w:r>
        <w:rPr>
          <w:rFonts w:ascii="Times New Roman" w:hAnsi="Times New Roman" w:cs="Times New Roman"/>
          <w:b/>
          <w:bCs/>
          <w:sz w:val="24"/>
          <w:szCs w:val="24"/>
        </w:rPr>
        <w:t>.</w:t>
      </w:r>
      <w:r w:rsidRPr="00E96F8F">
        <w:rPr>
          <w:rFonts w:ascii="Times New Roman" w:hAnsi="Times New Roman" w:cs="Times New Roman"/>
          <w:b/>
          <w:bCs/>
          <w:sz w:val="24"/>
          <w:szCs w:val="24"/>
        </w:rPr>
        <w:t xml:space="preserve"> Üldine energiasäästukohustus</w:t>
      </w:r>
    </w:p>
    <w:p w14:paraId="6A77C10B" w14:textId="77777777" w:rsidR="00B731C3" w:rsidRDefault="00B731C3" w:rsidP="00B731C3">
      <w:pPr>
        <w:spacing w:after="0" w:line="240" w:lineRule="auto"/>
        <w:jc w:val="both"/>
        <w:rPr>
          <w:rFonts w:ascii="Times New Roman" w:hAnsi="Times New Roman" w:cs="Times New Roman"/>
          <w:b/>
          <w:bCs/>
          <w:sz w:val="24"/>
          <w:szCs w:val="24"/>
        </w:rPr>
      </w:pPr>
    </w:p>
    <w:p w14:paraId="0F35A9BA" w14:textId="77777777" w:rsidR="00B731C3" w:rsidRDefault="00B731C3" w:rsidP="00B731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Direktiivi kohaselt</w:t>
      </w:r>
      <w:r w:rsidRPr="00E30BDA">
        <w:rPr>
          <w:rFonts w:ascii="Times New Roman" w:hAnsi="Times New Roman" w:cs="Times New Roman"/>
          <w:sz w:val="24"/>
          <w:szCs w:val="24"/>
        </w:rPr>
        <w:t xml:space="preserve"> peavad liikmesriigid kogu kohustusperioodil kuni 2030. aastani saavutama lõppkasutuse kumulatiivse energiasäästu, mis vastab uuele aastasele säästule vähemalt 0,8% energia lõpptarbimisest kuni 31. detsembrini 2023 ja vähemalt 1,3% alates 1. jaanuarist 2024, 1,5% alates 1. jaanuarist 2026 ja 1,9% alates 1. jaanuarist 2028. </w:t>
      </w:r>
      <w:r>
        <w:rPr>
          <w:rFonts w:ascii="Times New Roman" w:hAnsi="Times New Roman" w:cs="Times New Roman"/>
          <w:sz w:val="24"/>
          <w:szCs w:val="24"/>
        </w:rPr>
        <w:t xml:space="preserve">Energia lõpptarbimine </w:t>
      </w:r>
      <w:r w:rsidRPr="00454DFD">
        <w:rPr>
          <w:rFonts w:ascii="Times New Roman" w:hAnsi="Times New Roman" w:cs="Times New Roman"/>
          <w:sz w:val="24"/>
          <w:szCs w:val="24"/>
        </w:rPr>
        <w:t>arvestat</w:t>
      </w:r>
      <w:r>
        <w:rPr>
          <w:rFonts w:ascii="Times New Roman" w:hAnsi="Times New Roman" w:cs="Times New Roman"/>
          <w:sz w:val="24"/>
          <w:szCs w:val="24"/>
        </w:rPr>
        <w:t>akse</w:t>
      </w:r>
      <w:r w:rsidRPr="00454DFD">
        <w:rPr>
          <w:rFonts w:ascii="Times New Roman" w:hAnsi="Times New Roman" w:cs="Times New Roman"/>
          <w:sz w:val="24"/>
          <w:szCs w:val="24"/>
        </w:rPr>
        <w:t xml:space="preserve"> 1. jaanuarile 2019 eelnenud viimase kolme aasta keskmisena</w:t>
      </w:r>
      <w:r>
        <w:rPr>
          <w:rFonts w:ascii="Times New Roman" w:hAnsi="Times New Roman" w:cs="Times New Roman"/>
          <w:sz w:val="24"/>
          <w:szCs w:val="24"/>
        </w:rPr>
        <w:t>.</w:t>
      </w:r>
    </w:p>
    <w:p w14:paraId="18BCF92C" w14:textId="77777777" w:rsidR="00B731C3" w:rsidRDefault="00B731C3" w:rsidP="00B731C3">
      <w:pPr>
        <w:spacing w:after="0" w:line="240" w:lineRule="auto"/>
        <w:jc w:val="both"/>
        <w:rPr>
          <w:rFonts w:ascii="Times New Roman" w:hAnsi="Times New Roman" w:cs="Times New Roman"/>
          <w:sz w:val="24"/>
          <w:szCs w:val="24"/>
        </w:rPr>
      </w:pPr>
      <w:r w:rsidRPr="004816FA">
        <w:rPr>
          <w:rFonts w:ascii="Times New Roman" w:hAnsi="Times New Roman" w:cs="Times New Roman"/>
          <w:sz w:val="24"/>
          <w:szCs w:val="24"/>
        </w:rPr>
        <w:t>Eesmärk on seatud kumulatiivsena, st saavutatud energiasäästu taset tuleb säilitada kogu kohustusperioodi vältel. Kogu kohustusperioodi</w:t>
      </w:r>
      <w:r>
        <w:rPr>
          <w:rFonts w:ascii="Times New Roman" w:hAnsi="Times New Roman" w:cs="Times New Roman"/>
          <w:sz w:val="24"/>
          <w:szCs w:val="24"/>
        </w:rPr>
        <w:t xml:space="preserve"> (2021–2030)</w:t>
      </w:r>
      <w:r w:rsidRPr="004816FA">
        <w:rPr>
          <w:rFonts w:ascii="Times New Roman" w:hAnsi="Times New Roman" w:cs="Times New Roman"/>
          <w:sz w:val="24"/>
          <w:szCs w:val="24"/>
        </w:rPr>
        <w:t xml:space="preserve"> peale on Eesti üldine energiasäästukohustus ligikaudu </w:t>
      </w:r>
      <w:r>
        <w:rPr>
          <w:rFonts w:ascii="Times New Roman" w:hAnsi="Times New Roman" w:cs="Times New Roman"/>
          <w:sz w:val="24"/>
          <w:szCs w:val="24"/>
        </w:rPr>
        <w:t>21,28</w:t>
      </w:r>
      <w:r w:rsidRPr="004816FA">
        <w:rPr>
          <w:rFonts w:ascii="Times New Roman" w:hAnsi="Times New Roman" w:cs="Times New Roman"/>
          <w:sz w:val="24"/>
          <w:szCs w:val="24"/>
        </w:rPr>
        <w:t xml:space="preserve"> TWh.</w:t>
      </w:r>
    </w:p>
    <w:p w14:paraId="24AFD418" w14:textId="77777777" w:rsidR="00B731C3" w:rsidRDefault="00B731C3" w:rsidP="00B731C3">
      <w:pPr>
        <w:spacing w:after="0" w:line="240" w:lineRule="auto"/>
        <w:jc w:val="both"/>
        <w:rPr>
          <w:rFonts w:ascii="Times New Roman" w:hAnsi="Times New Roman" w:cs="Times New Roman"/>
          <w:sz w:val="24"/>
          <w:szCs w:val="24"/>
        </w:rPr>
      </w:pPr>
    </w:p>
    <w:p w14:paraId="08685EA9" w14:textId="77777777" w:rsidR="00B731C3" w:rsidRPr="00040368" w:rsidRDefault="00B731C3" w:rsidP="00B731C3">
      <w:pPr>
        <w:spacing w:after="0" w:line="240" w:lineRule="auto"/>
        <w:jc w:val="both"/>
        <w:rPr>
          <w:rFonts w:ascii="Times New Roman" w:eastAsia="Calibri" w:hAnsi="Times New Roman" w:cs="Times New Roman"/>
          <w:sz w:val="24"/>
          <w:szCs w:val="24"/>
        </w:rPr>
      </w:pPr>
      <w:r w:rsidRPr="00040368">
        <w:rPr>
          <w:rFonts w:ascii="Times New Roman" w:eastAsia="Calibri" w:hAnsi="Times New Roman" w:cs="Times New Roman"/>
          <w:sz w:val="24"/>
          <w:szCs w:val="24"/>
        </w:rPr>
        <w:t>Üldise energiasäästukohustuse täitmiseks on liikmesriikidel kaks põhimõtteliselt erinevat viisi:</w:t>
      </w:r>
    </w:p>
    <w:p w14:paraId="270426E1" w14:textId="77777777" w:rsidR="00B731C3" w:rsidRPr="00040368" w:rsidRDefault="00B731C3" w:rsidP="00B731C3">
      <w:pPr>
        <w:numPr>
          <w:ilvl w:val="0"/>
          <w:numId w:val="34"/>
        </w:numPr>
        <w:spacing w:after="0" w:line="240" w:lineRule="auto"/>
        <w:contextualSpacing/>
        <w:jc w:val="both"/>
        <w:rPr>
          <w:rFonts w:ascii="Times New Roman" w:eastAsia="Calibri" w:hAnsi="Times New Roman" w:cs="Times New Roman"/>
          <w:sz w:val="24"/>
          <w:szCs w:val="24"/>
        </w:rPr>
      </w:pPr>
      <w:r w:rsidRPr="00040368">
        <w:rPr>
          <w:rFonts w:ascii="Times New Roman" w:eastAsia="Calibri" w:hAnsi="Times New Roman" w:cs="Times New Roman"/>
          <w:sz w:val="24"/>
          <w:szCs w:val="24"/>
        </w:rPr>
        <w:t>rakendada energiatõhususkohustuse süsteemi, mille puhul määravad liikmesriigid kohustatud isikud oma territooriumil tegutsevate energiatarnijate, energia-jaemüügiettevõtjate ja transpordikütusetarnijate või -ja</w:t>
      </w:r>
      <w:r>
        <w:rPr>
          <w:rFonts w:ascii="Times New Roman" w:eastAsia="Calibri" w:hAnsi="Times New Roman" w:cs="Times New Roman"/>
          <w:sz w:val="24"/>
          <w:szCs w:val="24"/>
        </w:rPr>
        <w:t>em</w:t>
      </w:r>
      <w:r w:rsidRPr="00040368">
        <w:rPr>
          <w:rFonts w:ascii="Times New Roman" w:eastAsia="Calibri" w:hAnsi="Times New Roman" w:cs="Times New Roman"/>
          <w:sz w:val="24"/>
          <w:szCs w:val="24"/>
        </w:rPr>
        <w:t>üüjate seast;</w:t>
      </w:r>
    </w:p>
    <w:p w14:paraId="65544307" w14:textId="77777777" w:rsidR="00B731C3" w:rsidRPr="00040368" w:rsidRDefault="00B731C3" w:rsidP="00B731C3">
      <w:pPr>
        <w:numPr>
          <w:ilvl w:val="0"/>
          <w:numId w:val="34"/>
        </w:numPr>
        <w:spacing w:after="0" w:line="240" w:lineRule="auto"/>
        <w:contextualSpacing/>
        <w:jc w:val="both"/>
        <w:rPr>
          <w:rFonts w:ascii="Times New Roman" w:eastAsia="Calibri" w:hAnsi="Times New Roman" w:cs="Times New Roman"/>
          <w:sz w:val="24"/>
          <w:szCs w:val="24"/>
        </w:rPr>
      </w:pPr>
      <w:r w:rsidRPr="00040368">
        <w:rPr>
          <w:rFonts w:ascii="Times New Roman" w:eastAsia="Calibri" w:hAnsi="Times New Roman" w:cs="Times New Roman"/>
          <w:sz w:val="24"/>
          <w:szCs w:val="24"/>
        </w:rPr>
        <w:t>rakendada energiasäästumeetmeid, näiteks:</w:t>
      </w:r>
    </w:p>
    <w:p w14:paraId="6C9C53B5" w14:textId="77777777" w:rsidR="00B731C3" w:rsidRPr="00040368" w:rsidRDefault="00B731C3" w:rsidP="00B731C3">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040368">
        <w:rPr>
          <w:rFonts w:ascii="Times New Roman" w:eastAsia="Calibri" w:hAnsi="Times New Roman" w:cs="Times New Roman"/>
          <w:sz w:val="24"/>
          <w:szCs w:val="24"/>
        </w:rPr>
        <w:t>saastetasud ja aktsiisid;</w:t>
      </w:r>
    </w:p>
    <w:p w14:paraId="444443BC" w14:textId="77777777" w:rsidR="00B731C3" w:rsidRPr="00040368" w:rsidRDefault="00B731C3" w:rsidP="00B731C3">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040368">
        <w:rPr>
          <w:rFonts w:ascii="Times New Roman" w:eastAsia="Calibri" w:hAnsi="Times New Roman" w:cs="Times New Roman"/>
          <w:sz w:val="24"/>
          <w:szCs w:val="24"/>
        </w:rPr>
        <w:t xml:space="preserve">rahastamiskavad </w:t>
      </w:r>
      <w:r>
        <w:rPr>
          <w:rFonts w:ascii="Times New Roman" w:eastAsia="Calibri" w:hAnsi="Times New Roman" w:cs="Times New Roman"/>
          <w:sz w:val="24"/>
          <w:szCs w:val="24"/>
        </w:rPr>
        <w:t xml:space="preserve">(sh Euroopa Liidu toetused, </w:t>
      </w:r>
      <w:r w:rsidRPr="007C737A">
        <w:rPr>
          <w:rFonts w:ascii="Times New Roman" w:eastAsia="Calibri" w:hAnsi="Times New Roman" w:cs="Times New Roman"/>
          <w:sz w:val="24"/>
          <w:szCs w:val="24"/>
        </w:rPr>
        <w:t>CO</w:t>
      </w:r>
      <w:r>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 xml:space="preserve"> kvoodirahad ettevõttete ressursitõhususe- ja tootlikkuse ning hoonete renoveerimise toetamiseks) </w:t>
      </w:r>
      <w:r w:rsidRPr="007C737A">
        <w:rPr>
          <w:rFonts w:ascii="Times New Roman" w:eastAsia="Calibri" w:hAnsi="Times New Roman" w:cs="Times New Roman"/>
          <w:sz w:val="24"/>
          <w:szCs w:val="24"/>
        </w:rPr>
        <w:t>riigieelarve</w:t>
      </w:r>
      <w:r w:rsidRPr="00040368">
        <w:rPr>
          <w:rFonts w:ascii="Times New Roman" w:eastAsia="Calibri" w:hAnsi="Times New Roman" w:cs="Times New Roman"/>
          <w:sz w:val="24"/>
          <w:szCs w:val="24"/>
        </w:rPr>
        <w:t xml:space="preserve"> seaduse tähenduses;</w:t>
      </w:r>
    </w:p>
    <w:p w14:paraId="09E75C3E" w14:textId="77777777" w:rsidR="00B731C3" w:rsidRPr="00040368" w:rsidRDefault="00B731C3" w:rsidP="00B731C3">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040368">
        <w:rPr>
          <w:rFonts w:ascii="Times New Roman" w:eastAsia="Calibri" w:hAnsi="Times New Roman" w:cs="Times New Roman"/>
          <w:sz w:val="24"/>
          <w:szCs w:val="24"/>
        </w:rPr>
        <w:t>õigusaktid, mis aitavad saavutada energiatõhusa tehnoloogia või energiatõhusate meetodite rakendamist ja millel on energia lõpptarbimist vähendav mõju;</w:t>
      </w:r>
    </w:p>
    <w:p w14:paraId="0BCA5AF1" w14:textId="77777777" w:rsidR="00B731C3" w:rsidRPr="00040368" w:rsidRDefault="00B731C3" w:rsidP="00B731C3">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040368">
        <w:rPr>
          <w:rFonts w:ascii="Times New Roman" w:eastAsia="Calibri" w:hAnsi="Times New Roman" w:cs="Times New Roman"/>
          <w:sz w:val="24"/>
          <w:szCs w:val="24"/>
        </w:rPr>
        <w:t>vabatahtlikud kokkulepped, mis aitavad rakendada energiatõhusat tehnoloogiat või energiatõhusaid meetodeid ja millel on energia lõpptarbimist vähendav mõju;</w:t>
      </w:r>
    </w:p>
    <w:p w14:paraId="6D0F8DAA" w14:textId="77777777" w:rsidR="00B731C3" w:rsidRPr="00040368" w:rsidRDefault="00B731C3" w:rsidP="00B731C3">
      <w:pPr>
        <w:numPr>
          <w:ilvl w:val="1"/>
          <w:numId w:val="34"/>
        </w:numPr>
        <w:spacing w:after="0" w:line="240" w:lineRule="auto"/>
        <w:ind w:left="0" w:firstLine="0"/>
        <w:contextualSpacing/>
        <w:jc w:val="both"/>
        <w:rPr>
          <w:rFonts w:ascii="Times New Roman" w:eastAsia="Calibri" w:hAnsi="Times New Roman" w:cs="Times New Roman"/>
          <w:sz w:val="24"/>
          <w:szCs w:val="24"/>
        </w:rPr>
      </w:pPr>
      <w:r w:rsidRPr="00040368">
        <w:rPr>
          <w:rFonts w:ascii="Times New Roman" w:eastAsia="Calibri" w:hAnsi="Times New Roman" w:cs="Times New Roman"/>
          <w:sz w:val="24"/>
          <w:szCs w:val="24"/>
        </w:rPr>
        <w:t>standardid ja tehnilised normid, mille eesmärk on parandada toodete ja teenuste, sealhulgas hoonete ja sõidukite energiatõhusust;</w:t>
      </w:r>
    </w:p>
    <w:p w14:paraId="08BAA2DB" w14:textId="77777777" w:rsidR="00B731C3" w:rsidRPr="00040368" w:rsidRDefault="00B731C3" w:rsidP="00B731C3">
      <w:pPr>
        <w:numPr>
          <w:ilvl w:val="1"/>
          <w:numId w:val="34"/>
        </w:numPr>
        <w:spacing w:after="0" w:line="240" w:lineRule="auto"/>
        <w:ind w:left="0" w:firstLine="0"/>
        <w:contextualSpacing/>
        <w:jc w:val="both"/>
        <w:rPr>
          <w:rFonts w:ascii="Times New Roman" w:eastAsia="Calibri" w:hAnsi="Times New Roman" w:cs="Times New Roman"/>
          <w:sz w:val="24"/>
          <w:szCs w:val="24"/>
        </w:rPr>
      </w:pPr>
      <w:r w:rsidRPr="00040368">
        <w:rPr>
          <w:rFonts w:ascii="Times New Roman" w:eastAsia="Calibri" w:hAnsi="Times New Roman" w:cs="Times New Roman"/>
          <w:sz w:val="24"/>
          <w:szCs w:val="24"/>
        </w:rPr>
        <w:t>riiklikud energiamärgistuse süsteemid;</w:t>
      </w:r>
    </w:p>
    <w:p w14:paraId="7B0654D7" w14:textId="77777777" w:rsidR="00B731C3" w:rsidRPr="00040368" w:rsidRDefault="00B731C3" w:rsidP="00B731C3">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040368">
        <w:rPr>
          <w:rFonts w:ascii="Times New Roman" w:eastAsia="Calibri" w:hAnsi="Times New Roman" w:cs="Times New Roman"/>
          <w:sz w:val="24"/>
          <w:szCs w:val="24"/>
        </w:rPr>
        <w:t>koolitus ja haridus, mis aitavad rakendada energiatõhusat tehnoloogiat või energiatõhusaid meetodeid ja millel on energia lõpptarbimist vähendav mõju.</w:t>
      </w:r>
    </w:p>
    <w:p w14:paraId="3CF1BF88" w14:textId="77777777" w:rsidR="00B731C3" w:rsidRPr="00040368" w:rsidRDefault="00B731C3" w:rsidP="00B731C3">
      <w:pPr>
        <w:spacing w:after="0" w:line="240" w:lineRule="auto"/>
        <w:jc w:val="both"/>
        <w:rPr>
          <w:rFonts w:ascii="Times New Roman" w:eastAsia="Calibri" w:hAnsi="Times New Roman" w:cs="Times New Roman"/>
          <w:sz w:val="24"/>
          <w:szCs w:val="24"/>
        </w:rPr>
      </w:pPr>
      <w:r w:rsidRPr="00040368">
        <w:rPr>
          <w:rFonts w:ascii="Times New Roman" w:eastAsia="Calibri" w:hAnsi="Times New Roman" w:cs="Times New Roman"/>
          <w:sz w:val="24"/>
          <w:szCs w:val="24"/>
        </w:rPr>
        <w:t>Liikmesriigid võivad üldise energiasäästukohustuse täitmiseks kasutada mõlemat viisi, sh ka neid sama</w:t>
      </w:r>
      <w:r>
        <w:rPr>
          <w:rFonts w:ascii="Times New Roman" w:eastAsia="Calibri" w:hAnsi="Times New Roman" w:cs="Times New Roman"/>
          <w:sz w:val="24"/>
          <w:szCs w:val="24"/>
        </w:rPr>
        <w:t>l ajal</w:t>
      </w:r>
      <w:r w:rsidRPr="00040368">
        <w:rPr>
          <w:rFonts w:ascii="Times New Roman" w:eastAsia="Calibri" w:hAnsi="Times New Roman" w:cs="Times New Roman"/>
          <w:sz w:val="24"/>
          <w:szCs w:val="24"/>
        </w:rPr>
        <w:t xml:space="preserve"> kombineerides.</w:t>
      </w:r>
    </w:p>
    <w:p w14:paraId="214D8EF6" w14:textId="77777777" w:rsidR="00B731C3" w:rsidRPr="007F2B8D" w:rsidRDefault="00B731C3" w:rsidP="00B731C3">
      <w:pPr>
        <w:spacing w:after="0" w:line="240" w:lineRule="auto"/>
        <w:jc w:val="both"/>
        <w:rPr>
          <w:rFonts w:ascii="Times New Roman" w:hAnsi="Times New Roman" w:cs="Times New Roman"/>
          <w:sz w:val="24"/>
          <w:szCs w:val="24"/>
        </w:rPr>
      </w:pPr>
      <w:r w:rsidRPr="007F2B8D">
        <w:rPr>
          <w:rFonts w:ascii="Times New Roman" w:hAnsi="Times New Roman" w:cs="Times New Roman"/>
          <w:sz w:val="24"/>
          <w:szCs w:val="24"/>
        </w:rPr>
        <w:t>Direktiivi</w:t>
      </w:r>
      <w:r>
        <w:rPr>
          <w:rFonts w:ascii="Times New Roman" w:hAnsi="Times New Roman" w:cs="Times New Roman"/>
          <w:sz w:val="24"/>
          <w:szCs w:val="24"/>
        </w:rPr>
        <w:t xml:space="preserve">de </w:t>
      </w:r>
      <w:r w:rsidRPr="007F2B8D">
        <w:rPr>
          <w:rFonts w:ascii="Times New Roman" w:hAnsi="Times New Roman" w:cs="Times New Roman"/>
          <w:sz w:val="24"/>
          <w:szCs w:val="24"/>
        </w:rPr>
        <w:t xml:space="preserve">2012/27/EL </w:t>
      </w:r>
      <w:r>
        <w:rPr>
          <w:rFonts w:ascii="Times New Roman" w:hAnsi="Times New Roman" w:cs="Times New Roman"/>
          <w:sz w:val="24"/>
          <w:szCs w:val="24"/>
        </w:rPr>
        <w:t xml:space="preserve">ja </w:t>
      </w:r>
      <w:r w:rsidRPr="00B85926">
        <w:rPr>
          <w:rFonts w:ascii="Times New Roman" w:hAnsi="Times New Roman" w:cs="Times New Roman"/>
          <w:sz w:val="24"/>
          <w:szCs w:val="24"/>
        </w:rPr>
        <w:t>2018/2002</w:t>
      </w:r>
      <w:r>
        <w:rPr>
          <w:rFonts w:ascii="Times New Roman" w:hAnsi="Times New Roman" w:cs="Times New Roman"/>
          <w:sz w:val="24"/>
          <w:szCs w:val="24"/>
        </w:rPr>
        <w:t xml:space="preserve">/EL </w:t>
      </w:r>
      <w:r w:rsidRPr="007F2B8D">
        <w:rPr>
          <w:rFonts w:ascii="Times New Roman" w:hAnsi="Times New Roman" w:cs="Times New Roman"/>
          <w:sz w:val="24"/>
          <w:szCs w:val="24"/>
        </w:rPr>
        <w:t>rakendamisel on Eesti oma üldist energiasäästukohustust täitnud rii</w:t>
      </w:r>
      <w:r>
        <w:rPr>
          <w:rFonts w:ascii="Times New Roman" w:hAnsi="Times New Roman" w:cs="Times New Roman"/>
          <w:sz w:val="24"/>
          <w:szCs w:val="24"/>
        </w:rPr>
        <w:t>klikult</w:t>
      </w:r>
      <w:r w:rsidRPr="007F2B8D">
        <w:rPr>
          <w:rFonts w:ascii="Times New Roman" w:hAnsi="Times New Roman" w:cs="Times New Roman"/>
          <w:sz w:val="24"/>
          <w:szCs w:val="24"/>
        </w:rPr>
        <w:t xml:space="preserve"> rakendatavate energiasäästu meetmete abil. Sama lähenemisviisiga jätkamist planeeritakse ka kohustusperioodil 202</w:t>
      </w:r>
      <w:r>
        <w:rPr>
          <w:rFonts w:ascii="Times New Roman" w:hAnsi="Times New Roman" w:cs="Times New Roman"/>
          <w:sz w:val="24"/>
          <w:szCs w:val="24"/>
        </w:rPr>
        <w:t>5</w:t>
      </w:r>
      <w:r w:rsidRPr="007F2B8D">
        <w:rPr>
          <w:rFonts w:ascii="Times New Roman" w:hAnsi="Times New Roman" w:cs="Times New Roman"/>
          <w:sz w:val="24"/>
          <w:szCs w:val="24"/>
        </w:rPr>
        <w:t>–2030.</w:t>
      </w:r>
    </w:p>
    <w:p w14:paraId="377242F1" w14:textId="77777777" w:rsidR="00B731C3" w:rsidRDefault="00B731C3" w:rsidP="00B731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Kuna</w:t>
      </w:r>
      <w:r w:rsidRPr="007F2B8D">
        <w:rPr>
          <w:rFonts w:ascii="Times New Roman" w:hAnsi="Times New Roman" w:cs="Times New Roman"/>
          <w:sz w:val="24"/>
          <w:szCs w:val="24"/>
        </w:rPr>
        <w:t xml:space="preserve"> konkurents riigieelarve vahenditele süvene</w:t>
      </w:r>
      <w:r>
        <w:rPr>
          <w:rFonts w:ascii="Times New Roman" w:hAnsi="Times New Roman" w:cs="Times New Roman"/>
          <w:sz w:val="24"/>
          <w:szCs w:val="24"/>
        </w:rPr>
        <w:t>b</w:t>
      </w:r>
      <w:r w:rsidRPr="007F2B8D">
        <w:rPr>
          <w:rFonts w:ascii="Times New Roman" w:hAnsi="Times New Roman" w:cs="Times New Roman"/>
          <w:sz w:val="24"/>
          <w:szCs w:val="24"/>
        </w:rPr>
        <w:t xml:space="preserve"> ja eelarvevahendite piiratuse tingimustes kahaneb üldise energiasäästukohustuse eduka täitmise tõenäosus, tuleb Eestis lähiaastatel kaaluda ka energiatõhususkohustuste süsteemi rakendamist.</w:t>
      </w:r>
    </w:p>
    <w:p w14:paraId="357EEDA5" w14:textId="77777777" w:rsidR="00B731C3" w:rsidRDefault="00B731C3" w:rsidP="00B731C3">
      <w:pPr>
        <w:spacing w:after="0" w:line="240" w:lineRule="auto"/>
        <w:jc w:val="both"/>
        <w:rPr>
          <w:rFonts w:ascii="Times New Roman" w:hAnsi="Times New Roman" w:cs="Times New Roman"/>
          <w:sz w:val="24"/>
          <w:szCs w:val="24"/>
        </w:rPr>
      </w:pPr>
    </w:p>
    <w:p w14:paraId="616FA177" w14:textId="77777777" w:rsidR="00B731C3" w:rsidRPr="00AB5E54" w:rsidRDefault="00B731C3" w:rsidP="00B731C3">
      <w:pPr>
        <w:spacing w:after="0" w:line="240" w:lineRule="auto"/>
        <w:jc w:val="both"/>
        <w:rPr>
          <w:rFonts w:ascii="Times New Roman" w:hAnsi="Times New Roman" w:cs="Times New Roman"/>
          <w:sz w:val="24"/>
          <w:szCs w:val="24"/>
        </w:rPr>
      </w:pPr>
      <w:r w:rsidRPr="00AB5E54">
        <w:rPr>
          <w:rFonts w:ascii="Times New Roman" w:hAnsi="Times New Roman" w:cs="Times New Roman"/>
          <w:sz w:val="24"/>
          <w:szCs w:val="24"/>
        </w:rPr>
        <w:t>Energiatõhususkohustuste süsteem on poliitikameede, mille eesmärk on saavutada energiasäästu lõpptarbija tasandil. Süsteemi olemus seisneb selles, et teatud energiamüüjad või suured energiatarbijad peavad oma klientide või tarbijate juures ellu viima või toetama energiatõhusust parandavaid meetmeid – näiteks hoonete rekonstrueerimist, energiatõhusamate seadmete soetamist või uute tehnoloogiate kasutuselevõttu.</w:t>
      </w:r>
    </w:p>
    <w:p w14:paraId="129239DC" w14:textId="77777777" w:rsidR="00B731C3" w:rsidRPr="00AB5E54" w:rsidRDefault="00B731C3" w:rsidP="00B731C3">
      <w:pPr>
        <w:spacing w:after="0" w:line="240" w:lineRule="auto"/>
        <w:jc w:val="both"/>
        <w:rPr>
          <w:rFonts w:ascii="Times New Roman" w:hAnsi="Times New Roman" w:cs="Times New Roman"/>
          <w:sz w:val="24"/>
          <w:szCs w:val="24"/>
        </w:rPr>
      </w:pPr>
      <w:r w:rsidRPr="00AB5E54">
        <w:rPr>
          <w:rFonts w:ascii="Times New Roman" w:hAnsi="Times New Roman" w:cs="Times New Roman"/>
          <w:sz w:val="24"/>
          <w:szCs w:val="24"/>
        </w:rPr>
        <w:t>Energiasäästu saavutamine ei toimu otseselt riigi poolt, vaid kohustus pannakse energiaettevõtjatele. Need võivad energiasäästu saavutada ise meetmeid ellu viies, pakkudes näiteks käendusi, laene või toetusi, või tehes koostööd teiste turuosalistega. Lõpptarbija saavutatud energiasäästu eest kompenseeritakse energiaettevõtjale näiteks tasaarvelduse kaudu või turupõhiselt, kui riik võimaldab vabatahtliku energiasäästu turu tekkimist.</w:t>
      </w:r>
    </w:p>
    <w:p w14:paraId="0EC2686B" w14:textId="77777777" w:rsidR="00B731C3" w:rsidRPr="00AB5E54" w:rsidRDefault="00B731C3" w:rsidP="00B731C3">
      <w:pPr>
        <w:spacing w:after="0" w:line="240" w:lineRule="auto"/>
        <w:jc w:val="both"/>
        <w:rPr>
          <w:rFonts w:ascii="Times New Roman" w:hAnsi="Times New Roman" w:cs="Times New Roman"/>
          <w:sz w:val="24"/>
          <w:szCs w:val="24"/>
        </w:rPr>
      </w:pPr>
      <w:r w:rsidRPr="00AB5E54">
        <w:rPr>
          <w:rFonts w:ascii="Times New Roman" w:hAnsi="Times New Roman" w:cs="Times New Roman"/>
          <w:sz w:val="24"/>
          <w:szCs w:val="24"/>
        </w:rPr>
        <w:t>Riigi roll sellises süsteemis on keskendunud seirele ja järelevalvele – st kontrollida, et ettevõtjad täidaksid seatud säästukohustused nõuetekohaselt ning energiasääst oleks tegelik ja tõendatud.</w:t>
      </w:r>
    </w:p>
    <w:p w14:paraId="532C8CE3" w14:textId="77777777" w:rsidR="00B731C3" w:rsidRPr="00AB5E54" w:rsidRDefault="00B731C3" w:rsidP="00B731C3">
      <w:pPr>
        <w:spacing w:after="0" w:line="240" w:lineRule="auto"/>
        <w:jc w:val="both"/>
        <w:rPr>
          <w:rFonts w:ascii="Times New Roman" w:hAnsi="Times New Roman" w:cs="Times New Roman"/>
          <w:sz w:val="24"/>
          <w:szCs w:val="24"/>
        </w:rPr>
      </w:pPr>
    </w:p>
    <w:p w14:paraId="6F25CD42" w14:textId="77777777" w:rsidR="00B731C3" w:rsidRDefault="00B731C3" w:rsidP="00B731C3">
      <w:pPr>
        <w:spacing w:after="0" w:line="240" w:lineRule="auto"/>
        <w:jc w:val="both"/>
        <w:rPr>
          <w:rFonts w:ascii="Times New Roman" w:hAnsi="Times New Roman" w:cs="Times New Roman"/>
          <w:sz w:val="24"/>
          <w:szCs w:val="24"/>
        </w:rPr>
      </w:pPr>
      <w:r w:rsidRPr="00AB5E54">
        <w:rPr>
          <w:rFonts w:ascii="Times New Roman" w:hAnsi="Times New Roman" w:cs="Times New Roman"/>
          <w:sz w:val="24"/>
          <w:szCs w:val="24"/>
        </w:rPr>
        <w:t>Eestis on seni olnud energiatõhususe meetmete elluviimise põhikoormus riigil endal, eeskätt läbi otsetoetuste, nagu hoonete rekonstrueerimistoetused. Energiatõhususkohustuste süsteem võimaldab aga säästukohustusi ja vastutust suunata turuosalistele ning mitmekesistada energiatõhususe saavutamise viise.</w:t>
      </w:r>
    </w:p>
    <w:p w14:paraId="1840534B" w14:textId="77777777" w:rsidR="00B731C3" w:rsidRDefault="00B731C3" w:rsidP="00B731C3">
      <w:pPr>
        <w:spacing w:after="0" w:line="240" w:lineRule="auto"/>
        <w:jc w:val="both"/>
        <w:rPr>
          <w:rFonts w:ascii="Times New Roman" w:hAnsi="Times New Roman" w:cs="Times New Roman"/>
          <w:sz w:val="24"/>
          <w:szCs w:val="24"/>
        </w:rPr>
      </w:pPr>
    </w:p>
    <w:p w14:paraId="76C81087" w14:textId="77777777" w:rsidR="00B731C3" w:rsidRDefault="00B731C3" w:rsidP="00B731C3">
      <w:pPr>
        <w:spacing w:after="0" w:line="240" w:lineRule="auto"/>
        <w:jc w:val="both"/>
        <w:rPr>
          <w:rFonts w:ascii="Times New Roman" w:hAnsi="Times New Roman" w:cs="Times New Roman"/>
          <w:sz w:val="24"/>
          <w:szCs w:val="24"/>
        </w:rPr>
      </w:pPr>
      <w:r w:rsidRPr="00BA1DAB">
        <w:rPr>
          <w:rFonts w:ascii="Times New Roman" w:hAnsi="Times New Roman" w:cs="Times New Roman"/>
          <w:sz w:val="24"/>
          <w:szCs w:val="24"/>
        </w:rPr>
        <w:t>Lõpptarbimine peab vähenema energiasäästukohustuse täitmisega erinevate energiatõhususe meetmete tulemusel, sh hoonete rekonstrueerimise, elektrisõidukitele j</w:t>
      </w:r>
      <w:r>
        <w:rPr>
          <w:rFonts w:ascii="Times New Roman" w:hAnsi="Times New Roman" w:cs="Times New Roman"/>
          <w:sz w:val="24"/>
          <w:szCs w:val="24"/>
        </w:rPr>
        <w:t>a</w:t>
      </w:r>
      <w:r w:rsidRPr="00BA1DAB">
        <w:rPr>
          <w:rFonts w:ascii="Times New Roman" w:hAnsi="Times New Roman" w:cs="Times New Roman"/>
          <w:sz w:val="24"/>
          <w:szCs w:val="24"/>
        </w:rPr>
        <w:t xml:space="preserve"> alternatiivkütustele üleminekuga, soojuspumpade kasutuselevõtuga jms. Elektritarbimise kasvu kompenseerib küttevajaduse vähenemine ja fossiilkütustelt taastuvenergiale üleminek.</w:t>
      </w:r>
      <w:r w:rsidRPr="00BA1DAB">
        <w:rPr>
          <w:rFonts w:ascii="Times New Roman" w:hAnsi="Times New Roman" w:cs="Times New Roman"/>
          <w:sz w:val="24"/>
          <w:szCs w:val="24"/>
        </w:rPr>
        <w:cr/>
      </w:r>
    </w:p>
    <w:p w14:paraId="742EF24B" w14:textId="77777777" w:rsidR="00B731C3" w:rsidRDefault="00B731C3" w:rsidP="00B731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Kui riik ei täida talle seatud kumulatiivseid energiatõhususe eesmärke, mida tõendatakse riiklike energia- ja kliimakavades, </w:t>
      </w:r>
      <w:r w:rsidRPr="00D44262">
        <w:rPr>
          <w:rFonts w:ascii="Times New Roman" w:hAnsi="Times New Roman" w:cs="Times New Roman"/>
          <w:sz w:val="24"/>
          <w:szCs w:val="24"/>
        </w:rPr>
        <w:t xml:space="preserve">võib komisjon kooskõlas määruse (EL) 2018/1999 artikliga 34 anda soovitusi </w:t>
      </w:r>
      <w:r>
        <w:rPr>
          <w:rFonts w:ascii="Times New Roman" w:hAnsi="Times New Roman" w:cs="Times New Roman"/>
          <w:sz w:val="24"/>
          <w:szCs w:val="24"/>
        </w:rPr>
        <w:t>riigile</w:t>
      </w:r>
      <w:r w:rsidRPr="00D44262">
        <w:rPr>
          <w:rFonts w:ascii="Times New Roman" w:hAnsi="Times New Roman" w:cs="Times New Roman"/>
          <w:sz w:val="24"/>
          <w:szCs w:val="24"/>
        </w:rPr>
        <w:t xml:space="preserve">, </w:t>
      </w:r>
      <w:r>
        <w:rPr>
          <w:rFonts w:ascii="Times New Roman" w:hAnsi="Times New Roman" w:cs="Times New Roman"/>
          <w:sz w:val="24"/>
          <w:szCs w:val="24"/>
        </w:rPr>
        <w:t xml:space="preserve">et rakendatud </w:t>
      </w:r>
      <w:r w:rsidRPr="00D44262">
        <w:rPr>
          <w:rFonts w:ascii="Times New Roman" w:hAnsi="Times New Roman" w:cs="Times New Roman"/>
          <w:sz w:val="24"/>
          <w:szCs w:val="24"/>
        </w:rPr>
        <w:t>poliitikameetmed ei ole komisjoni hinnangul piisavad nende energiasäästukohustuse täitmise tagamiseks</w:t>
      </w:r>
      <w:r>
        <w:rPr>
          <w:rFonts w:ascii="Times New Roman" w:hAnsi="Times New Roman" w:cs="Times New Roman"/>
          <w:sz w:val="24"/>
          <w:szCs w:val="24"/>
        </w:rPr>
        <w:t xml:space="preserve">, ja </w:t>
      </w:r>
      <w:r w:rsidRPr="002D5619">
        <w:rPr>
          <w:rFonts w:ascii="Times New Roman" w:hAnsi="Times New Roman" w:cs="Times New Roman"/>
          <w:sz w:val="24"/>
          <w:szCs w:val="24"/>
        </w:rPr>
        <w:t>kasutab oma volitusi liidu tasandil, et tagada eelkõige liidu 2030. aasta energiatõhususe eesmärgi saavutamine.</w:t>
      </w:r>
    </w:p>
    <w:p w14:paraId="48120CC6" w14:textId="77777777" w:rsidR="00B731C3" w:rsidRPr="007F2B8D" w:rsidRDefault="00B731C3" w:rsidP="00B731C3">
      <w:pPr>
        <w:spacing w:after="0" w:line="240" w:lineRule="auto"/>
        <w:jc w:val="both"/>
        <w:rPr>
          <w:rFonts w:ascii="Times New Roman" w:hAnsi="Times New Roman" w:cs="Times New Roman"/>
          <w:sz w:val="24"/>
          <w:szCs w:val="24"/>
        </w:rPr>
      </w:pPr>
    </w:p>
    <w:p w14:paraId="7780E690" w14:textId="77777777" w:rsidR="00B731C3" w:rsidRDefault="00B731C3" w:rsidP="00B731C3">
      <w:pPr>
        <w:spacing w:after="0" w:line="240" w:lineRule="auto"/>
        <w:jc w:val="both"/>
        <w:rPr>
          <w:rFonts w:ascii="Times New Roman" w:hAnsi="Times New Roman" w:cs="Times New Roman"/>
          <w:b/>
          <w:bCs/>
          <w:sz w:val="24"/>
          <w:szCs w:val="24"/>
        </w:rPr>
      </w:pPr>
      <w:r w:rsidRPr="00391A26">
        <w:rPr>
          <w:rFonts w:ascii="Times New Roman" w:hAnsi="Times New Roman" w:cs="Times New Roman"/>
          <w:b/>
          <w:bCs/>
          <w:sz w:val="24"/>
          <w:szCs w:val="24"/>
        </w:rPr>
        <w:t>2.3. Avaliku sektori asutuste üldine energiasääst ja omandis olevate hoonete rekonstrueerimise eesmärk</w:t>
      </w:r>
    </w:p>
    <w:p w14:paraId="271A0BF7" w14:textId="77777777" w:rsidR="00B731C3" w:rsidRDefault="00B731C3" w:rsidP="00B731C3">
      <w:pPr>
        <w:spacing w:after="0" w:line="240" w:lineRule="auto"/>
        <w:jc w:val="both"/>
        <w:rPr>
          <w:rFonts w:ascii="Times New Roman" w:hAnsi="Times New Roman" w:cs="Times New Roman"/>
          <w:sz w:val="24"/>
          <w:szCs w:val="24"/>
        </w:rPr>
      </w:pPr>
    </w:p>
    <w:p w14:paraId="2D49BAB4" w14:textId="77777777" w:rsidR="00B731C3" w:rsidRDefault="00B731C3" w:rsidP="00B731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Uus direktiiv täpsustab avaliku sektori asutuse mõistet, laiendades seda keskvalitsuselt ka kohalikele omavalitustele, ülikoolidele, haiglatele ja transpordile. Täpsem nimekiri on Rahandusministeeriumi lehel</w:t>
      </w:r>
      <w:r>
        <w:rPr>
          <w:rStyle w:val="Allmrkuseviide"/>
          <w:rFonts w:ascii="Times New Roman" w:hAnsi="Times New Roman" w:cs="Times New Roman"/>
          <w:sz w:val="24"/>
          <w:szCs w:val="24"/>
        </w:rPr>
        <w:footnoteReference w:id="7"/>
      </w:r>
      <w:r>
        <w:rPr>
          <w:rFonts w:ascii="Times New Roman" w:hAnsi="Times New Roman" w:cs="Times New Roman"/>
          <w:sz w:val="24"/>
          <w:szCs w:val="24"/>
        </w:rPr>
        <w:t>. Juurde tuleb avaliku sektori energiasäästu üldine kohustus, 1,9% 2021 aasta baastasemest.</w:t>
      </w:r>
    </w:p>
    <w:p w14:paraId="008C592C" w14:textId="77777777" w:rsidR="00B731C3" w:rsidRDefault="00B731C3" w:rsidP="00B731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Kohalikele omavalitsustele rakendub see kohustus erinevalt, sõltudes elanike arvust.</w:t>
      </w:r>
    </w:p>
    <w:p w14:paraId="23458EEE" w14:textId="77777777" w:rsidR="00B731C3" w:rsidRDefault="00B731C3" w:rsidP="00B731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Tuleb märkida, et tabelis esitatud kokkuhoiu määr on summaarne, n-ö rühma peale kokku.</w:t>
      </w:r>
    </w:p>
    <w:p w14:paraId="3E88FECE" w14:textId="77777777" w:rsidR="00B731C3" w:rsidRDefault="00B731C3" w:rsidP="00B731C3">
      <w:pPr>
        <w:spacing w:after="0" w:line="240" w:lineRule="auto"/>
        <w:jc w:val="both"/>
        <w:rPr>
          <w:rFonts w:ascii="Times New Roman" w:hAnsi="Times New Roman" w:cs="Times New Roman"/>
          <w:sz w:val="24"/>
          <w:szCs w:val="24"/>
        </w:rPr>
      </w:pPr>
    </w:p>
    <w:p w14:paraId="28A3E89C" w14:textId="77777777" w:rsidR="00B731C3" w:rsidRDefault="00B731C3" w:rsidP="00B731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Tabel 2. Avaliku sektori asutuste energiatarbimise baastase, kokkuhoiu määr ning rakendumise aeg</w:t>
      </w:r>
    </w:p>
    <w:tbl>
      <w:tblPr>
        <w:tblStyle w:val="Kontuurtabel"/>
        <w:tblW w:w="0" w:type="auto"/>
        <w:tblLook w:val="04A0" w:firstRow="1" w:lastRow="0" w:firstColumn="1" w:lastColumn="0" w:noHBand="0" w:noVBand="1"/>
      </w:tblPr>
      <w:tblGrid>
        <w:gridCol w:w="3256"/>
        <w:gridCol w:w="1984"/>
        <w:gridCol w:w="1843"/>
        <w:gridCol w:w="1979"/>
      </w:tblGrid>
      <w:tr w:rsidR="00B731C3" w14:paraId="2C783AFB" w14:textId="77777777" w:rsidTr="00A13E67">
        <w:tc>
          <w:tcPr>
            <w:tcW w:w="3256" w:type="dxa"/>
          </w:tcPr>
          <w:p w14:paraId="331F7AA5" w14:textId="77777777" w:rsidR="00B731C3" w:rsidRDefault="00B731C3" w:rsidP="00A13E67">
            <w:pPr>
              <w:jc w:val="both"/>
              <w:rPr>
                <w:rFonts w:ascii="Times New Roman" w:hAnsi="Times New Roman" w:cs="Times New Roman"/>
                <w:sz w:val="24"/>
                <w:szCs w:val="24"/>
              </w:rPr>
            </w:pPr>
            <w:bookmarkStart w:id="0" w:name="_Hlk194410987"/>
            <w:r>
              <w:rPr>
                <w:rFonts w:ascii="Times New Roman" w:hAnsi="Times New Roman" w:cs="Times New Roman"/>
                <w:sz w:val="24"/>
                <w:szCs w:val="24"/>
              </w:rPr>
              <w:t xml:space="preserve">Osaline </w:t>
            </w:r>
          </w:p>
        </w:tc>
        <w:tc>
          <w:tcPr>
            <w:tcW w:w="1984" w:type="dxa"/>
          </w:tcPr>
          <w:p w14:paraId="59B0DAD7" w14:textId="77777777" w:rsidR="00B731C3" w:rsidRDefault="00B731C3" w:rsidP="00A13E67">
            <w:pPr>
              <w:jc w:val="center"/>
              <w:rPr>
                <w:rFonts w:ascii="Times New Roman" w:hAnsi="Times New Roman" w:cs="Times New Roman"/>
                <w:sz w:val="24"/>
                <w:szCs w:val="24"/>
              </w:rPr>
            </w:pPr>
            <w:r>
              <w:rPr>
                <w:rFonts w:ascii="Times New Roman" w:hAnsi="Times New Roman" w:cs="Times New Roman"/>
                <w:sz w:val="24"/>
                <w:szCs w:val="24"/>
              </w:rPr>
              <w:t>Baastase (2021. a tarbimine)</w:t>
            </w:r>
          </w:p>
        </w:tc>
        <w:tc>
          <w:tcPr>
            <w:tcW w:w="1843" w:type="dxa"/>
          </w:tcPr>
          <w:p w14:paraId="70C84E35" w14:textId="77777777" w:rsidR="00B731C3" w:rsidRDefault="00B731C3" w:rsidP="00A13E67">
            <w:pPr>
              <w:jc w:val="center"/>
              <w:rPr>
                <w:rFonts w:ascii="Times New Roman" w:hAnsi="Times New Roman" w:cs="Times New Roman"/>
                <w:sz w:val="24"/>
                <w:szCs w:val="24"/>
              </w:rPr>
            </w:pPr>
            <w:r>
              <w:rPr>
                <w:rFonts w:ascii="Times New Roman" w:hAnsi="Times New Roman" w:cs="Times New Roman"/>
                <w:sz w:val="24"/>
                <w:szCs w:val="24"/>
              </w:rPr>
              <w:t>1,9% kokkuhoiu määr</w:t>
            </w:r>
          </w:p>
        </w:tc>
        <w:tc>
          <w:tcPr>
            <w:tcW w:w="1979" w:type="dxa"/>
          </w:tcPr>
          <w:p w14:paraId="4F6D3ADE" w14:textId="77777777" w:rsidR="00B731C3" w:rsidRDefault="00B731C3" w:rsidP="00A13E67">
            <w:pPr>
              <w:jc w:val="center"/>
              <w:rPr>
                <w:rFonts w:ascii="Times New Roman" w:hAnsi="Times New Roman" w:cs="Times New Roman"/>
                <w:sz w:val="24"/>
                <w:szCs w:val="24"/>
              </w:rPr>
            </w:pPr>
            <w:r>
              <w:rPr>
                <w:rFonts w:ascii="Times New Roman" w:hAnsi="Times New Roman" w:cs="Times New Roman"/>
                <w:sz w:val="24"/>
                <w:szCs w:val="24"/>
              </w:rPr>
              <w:t>Rakendumise aeg</w:t>
            </w:r>
          </w:p>
        </w:tc>
      </w:tr>
      <w:tr w:rsidR="00B731C3" w14:paraId="161F3BA2" w14:textId="77777777" w:rsidTr="00A13E67">
        <w:tc>
          <w:tcPr>
            <w:tcW w:w="3256" w:type="dxa"/>
          </w:tcPr>
          <w:p w14:paraId="1B7B6AFB" w14:textId="77777777" w:rsidR="00B731C3" w:rsidRDefault="00B731C3" w:rsidP="00A13E67">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Keskvalitsus, ülikoolid, haiglad ning KOV-id, kus elanikke rohkem kui 50 000 (Tallinn, Tartu, Pärnu, Narva) </w:t>
            </w:r>
            <w:r>
              <w:rPr>
                <w:rStyle w:val="Allmrkuseviide"/>
                <w:rFonts w:ascii="Times New Roman" w:hAnsi="Times New Roman" w:cs="Times New Roman"/>
                <w:sz w:val="24"/>
                <w:szCs w:val="24"/>
              </w:rPr>
              <w:footnoteReference w:id="8"/>
            </w:r>
          </w:p>
        </w:tc>
        <w:tc>
          <w:tcPr>
            <w:tcW w:w="1984" w:type="dxa"/>
          </w:tcPr>
          <w:p w14:paraId="68C3D0B6" w14:textId="77777777" w:rsidR="00B731C3" w:rsidRDefault="00B731C3" w:rsidP="00A13E67">
            <w:pPr>
              <w:jc w:val="center"/>
              <w:rPr>
                <w:rFonts w:ascii="Times New Roman" w:hAnsi="Times New Roman" w:cs="Times New Roman"/>
                <w:sz w:val="24"/>
                <w:szCs w:val="24"/>
              </w:rPr>
            </w:pPr>
            <w:r>
              <w:rPr>
                <w:rFonts w:ascii="Times New Roman" w:hAnsi="Times New Roman" w:cs="Times New Roman"/>
                <w:sz w:val="24"/>
                <w:szCs w:val="24"/>
              </w:rPr>
              <w:t>~ 1437 GWh</w:t>
            </w:r>
          </w:p>
        </w:tc>
        <w:tc>
          <w:tcPr>
            <w:tcW w:w="1843" w:type="dxa"/>
          </w:tcPr>
          <w:p w14:paraId="3B2AB26E" w14:textId="77777777" w:rsidR="00B731C3" w:rsidRDefault="00B731C3" w:rsidP="00A13E67">
            <w:pPr>
              <w:jc w:val="center"/>
              <w:rPr>
                <w:rFonts w:ascii="Times New Roman" w:hAnsi="Times New Roman" w:cs="Times New Roman"/>
                <w:sz w:val="24"/>
                <w:szCs w:val="24"/>
              </w:rPr>
            </w:pPr>
            <w:r>
              <w:rPr>
                <w:rFonts w:ascii="Times New Roman" w:hAnsi="Times New Roman" w:cs="Times New Roman"/>
                <w:sz w:val="24"/>
                <w:szCs w:val="24"/>
              </w:rPr>
              <w:t>~ 27 GWh/a</w:t>
            </w:r>
          </w:p>
        </w:tc>
        <w:tc>
          <w:tcPr>
            <w:tcW w:w="1979" w:type="dxa"/>
          </w:tcPr>
          <w:p w14:paraId="700BF768" w14:textId="77777777" w:rsidR="00B731C3" w:rsidRDefault="00B731C3" w:rsidP="00A13E67">
            <w:pPr>
              <w:jc w:val="center"/>
              <w:rPr>
                <w:rFonts w:ascii="Times New Roman" w:hAnsi="Times New Roman" w:cs="Times New Roman"/>
                <w:sz w:val="24"/>
                <w:szCs w:val="24"/>
              </w:rPr>
            </w:pPr>
            <w:r>
              <w:rPr>
                <w:rFonts w:ascii="Times New Roman" w:hAnsi="Times New Roman" w:cs="Times New Roman"/>
                <w:sz w:val="24"/>
                <w:szCs w:val="24"/>
              </w:rPr>
              <w:t>01.01.2026</w:t>
            </w:r>
          </w:p>
        </w:tc>
      </w:tr>
      <w:tr w:rsidR="00B731C3" w14:paraId="528430B4" w14:textId="77777777" w:rsidTr="00A13E67">
        <w:tc>
          <w:tcPr>
            <w:tcW w:w="3256" w:type="dxa"/>
          </w:tcPr>
          <w:p w14:paraId="473F6A3A" w14:textId="77777777" w:rsidR="00B731C3" w:rsidRDefault="00B731C3" w:rsidP="00A13E67">
            <w:pPr>
              <w:spacing w:line="276" w:lineRule="auto"/>
              <w:jc w:val="both"/>
              <w:rPr>
                <w:rFonts w:ascii="Times New Roman" w:hAnsi="Times New Roman" w:cs="Times New Roman"/>
                <w:sz w:val="24"/>
                <w:szCs w:val="24"/>
              </w:rPr>
            </w:pPr>
            <w:r>
              <w:rPr>
                <w:rFonts w:ascii="Times New Roman" w:hAnsi="Times New Roman" w:cs="Times New Roman"/>
                <w:sz w:val="24"/>
                <w:szCs w:val="24"/>
              </w:rPr>
              <w:t>KOV-id, kus elanikke vähem kui 50 000, kuid rohkem kui 5000 (60 KOV)</w:t>
            </w:r>
          </w:p>
        </w:tc>
        <w:tc>
          <w:tcPr>
            <w:tcW w:w="1984" w:type="dxa"/>
          </w:tcPr>
          <w:p w14:paraId="66DB0BA2" w14:textId="77777777" w:rsidR="00B731C3" w:rsidRDefault="00B731C3" w:rsidP="00A13E67">
            <w:pPr>
              <w:jc w:val="center"/>
              <w:rPr>
                <w:rFonts w:ascii="Times New Roman" w:hAnsi="Times New Roman" w:cs="Times New Roman"/>
                <w:sz w:val="24"/>
                <w:szCs w:val="24"/>
              </w:rPr>
            </w:pPr>
            <w:r>
              <w:rPr>
                <w:rFonts w:ascii="Times New Roman" w:hAnsi="Times New Roman" w:cs="Times New Roman"/>
                <w:sz w:val="24"/>
                <w:szCs w:val="24"/>
              </w:rPr>
              <w:t>~ 630 GWh</w:t>
            </w:r>
          </w:p>
        </w:tc>
        <w:tc>
          <w:tcPr>
            <w:tcW w:w="1843" w:type="dxa"/>
          </w:tcPr>
          <w:p w14:paraId="7C5A3A83" w14:textId="77777777" w:rsidR="00B731C3" w:rsidRDefault="00B731C3" w:rsidP="00A13E67">
            <w:pPr>
              <w:jc w:val="center"/>
              <w:rPr>
                <w:rFonts w:ascii="Times New Roman" w:hAnsi="Times New Roman" w:cs="Times New Roman"/>
                <w:sz w:val="24"/>
                <w:szCs w:val="24"/>
              </w:rPr>
            </w:pPr>
            <w:r>
              <w:rPr>
                <w:rFonts w:ascii="Times New Roman" w:hAnsi="Times New Roman" w:cs="Times New Roman"/>
                <w:sz w:val="24"/>
                <w:szCs w:val="24"/>
              </w:rPr>
              <w:t>~ 11 GWh/a</w:t>
            </w:r>
          </w:p>
        </w:tc>
        <w:tc>
          <w:tcPr>
            <w:tcW w:w="1979" w:type="dxa"/>
          </w:tcPr>
          <w:p w14:paraId="2C83ACAD" w14:textId="77777777" w:rsidR="00B731C3" w:rsidRDefault="00B731C3" w:rsidP="00A13E67">
            <w:pPr>
              <w:jc w:val="center"/>
              <w:rPr>
                <w:rFonts w:ascii="Times New Roman" w:hAnsi="Times New Roman" w:cs="Times New Roman"/>
                <w:sz w:val="24"/>
                <w:szCs w:val="24"/>
              </w:rPr>
            </w:pPr>
            <w:r>
              <w:rPr>
                <w:rFonts w:ascii="Times New Roman" w:hAnsi="Times New Roman" w:cs="Times New Roman"/>
                <w:sz w:val="24"/>
                <w:szCs w:val="24"/>
              </w:rPr>
              <w:t>1.01.2027</w:t>
            </w:r>
          </w:p>
        </w:tc>
      </w:tr>
      <w:tr w:rsidR="00B731C3" w14:paraId="06883866" w14:textId="77777777" w:rsidTr="00A13E67">
        <w:tc>
          <w:tcPr>
            <w:tcW w:w="3256" w:type="dxa"/>
          </w:tcPr>
          <w:p w14:paraId="344D4AA6" w14:textId="77777777" w:rsidR="00B731C3" w:rsidRDefault="00B731C3" w:rsidP="00A13E67">
            <w:pPr>
              <w:jc w:val="both"/>
              <w:rPr>
                <w:rFonts w:ascii="Times New Roman" w:hAnsi="Times New Roman" w:cs="Times New Roman"/>
                <w:sz w:val="24"/>
                <w:szCs w:val="24"/>
              </w:rPr>
            </w:pPr>
            <w:r>
              <w:rPr>
                <w:rFonts w:ascii="Times New Roman" w:hAnsi="Times New Roman" w:cs="Times New Roman"/>
                <w:sz w:val="24"/>
                <w:szCs w:val="24"/>
              </w:rPr>
              <w:t xml:space="preserve">KOV-id kus elanikke on alla 5000 (15 KOV-i) </w:t>
            </w:r>
          </w:p>
        </w:tc>
        <w:tc>
          <w:tcPr>
            <w:tcW w:w="1984" w:type="dxa"/>
          </w:tcPr>
          <w:p w14:paraId="1435934E" w14:textId="77777777" w:rsidR="00B731C3" w:rsidRDefault="00B731C3" w:rsidP="00A13E67">
            <w:pPr>
              <w:jc w:val="center"/>
              <w:rPr>
                <w:rFonts w:ascii="Times New Roman" w:hAnsi="Times New Roman" w:cs="Times New Roman"/>
                <w:sz w:val="24"/>
                <w:szCs w:val="24"/>
              </w:rPr>
            </w:pPr>
            <w:r>
              <w:rPr>
                <w:rFonts w:ascii="Times New Roman" w:hAnsi="Times New Roman" w:cs="Times New Roman"/>
                <w:sz w:val="24"/>
                <w:szCs w:val="24"/>
              </w:rPr>
              <w:t>~ 57 GWh</w:t>
            </w:r>
          </w:p>
        </w:tc>
        <w:tc>
          <w:tcPr>
            <w:tcW w:w="1843" w:type="dxa"/>
          </w:tcPr>
          <w:p w14:paraId="6660D85F" w14:textId="77777777" w:rsidR="00B731C3" w:rsidRDefault="00B731C3" w:rsidP="00A13E67">
            <w:pPr>
              <w:jc w:val="center"/>
              <w:rPr>
                <w:rFonts w:ascii="Times New Roman" w:hAnsi="Times New Roman" w:cs="Times New Roman"/>
                <w:sz w:val="24"/>
                <w:szCs w:val="24"/>
              </w:rPr>
            </w:pPr>
            <w:r>
              <w:rPr>
                <w:rFonts w:ascii="Times New Roman" w:hAnsi="Times New Roman" w:cs="Times New Roman"/>
                <w:sz w:val="24"/>
                <w:szCs w:val="24"/>
              </w:rPr>
              <w:t>~ 1 GWh/a</w:t>
            </w:r>
          </w:p>
        </w:tc>
        <w:tc>
          <w:tcPr>
            <w:tcW w:w="1979" w:type="dxa"/>
          </w:tcPr>
          <w:p w14:paraId="2C59A7D4" w14:textId="77777777" w:rsidR="00B731C3" w:rsidRDefault="00B731C3" w:rsidP="00A13E67">
            <w:pPr>
              <w:jc w:val="center"/>
              <w:rPr>
                <w:rFonts w:ascii="Times New Roman" w:hAnsi="Times New Roman" w:cs="Times New Roman"/>
                <w:sz w:val="24"/>
                <w:szCs w:val="24"/>
              </w:rPr>
            </w:pPr>
            <w:r>
              <w:rPr>
                <w:rFonts w:ascii="Times New Roman" w:hAnsi="Times New Roman" w:cs="Times New Roman"/>
                <w:sz w:val="24"/>
                <w:szCs w:val="24"/>
              </w:rPr>
              <w:t>1.01.2030</w:t>
            </w:r>
          </w:p>
        </w:tc>
      </w:tr>
    </w:tbl>
    <w:p w14:paraId="32E8665D" w14:textId="77777777" w:rsidR="00B731C3" w:rsidRDefault="00B731C3" w:rsidP="00B731C3">
      <w:pPr>
        <w:spacing w:after="0" w:line="240" w:lineRule="auto"/>
        <w:jc w:val="both"/>
        <w:rPr>
          <w:rFonts w:ascii="Times New Roman" w:hAnsi="Times New Roman" w:cs="Times New Roman"/>
          <w:sz w:val="24"/>
          <w:szCs w:val="24"/>
        </w:rPr>
      </w:pPr>
    </w:p>
    <w:bookmarkEnd w:id="0"/>
    <w:p w14:paraId="18ABD84D" w14:textId="77777777" w:rsidR="00B731C3" w:rsidRDefault="00B731C3" w:rsidP="00B731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Avaliku sektori asutuste peamine kulu on kinnisvara, peamine säästukoht on hoonete energiatõhususe suurendamine, </w:t>
      </w:r>
      <w:r w:rsidRPr="00F533CB">
        <w:rPr>
          <w:rFonts w:ascii="Times New Roman" w:hAnsi="Times New Roman" w:cs="Times New Roman"/>
          <w:sz w:val="24"/>
          <w:szCs w:val="24"/>
        </w:rPr>
        <w:t>s</w:t>
      </w:r>
      <w:r>
        <w:rPr>
          <w:rFonts w:ascii="Times New Roman" w:hAnsi="Times New Roman" w:cs="Times New Roman"/>
          <w:sz w:val="24"/>
          <w:szCs w:val="24"/>
        </w:rPr>
        <w:t>t.</w:t>
      </w:r>
      <w:r w:rsidRPr="00F533CB">
        <w:rPr>
          <w:rFonts w:ascii="Times New Roman" w:hAnsi="Times New Roman" w:cs="Times New Roman"/>
          <w:sz w:val="24"/>
          <w:szCs w:val="24"/>
        </w:rPr>
        <w:t xml:space="preserve"> vanade või ebatõhusate kütteseadmete väljavahetami</w:t>
      </w:r>
      <w:r>
        <w:rPr>
          <w:rFonts w:ascii="Times New Roman" w:hAnsi="Times New Roman" w:cs="Times New Roman"/>
          <w:sz w:val="24"/>
          <w:szCs w:val="24"/>
        </w:rPr>
        <w:t>ne, aga ka näiteks täpsem energiakasutuse (seadmete käitamise) jälgimine</w:t>
      </w:r>
      <w:r w:rsidRPr="4EC80D3A">
        <w:rPr>
          <w:rFonts w:ascii="Times New Roman" w:hAnsi="Times New Roman" w:cs="Times New Roman"/>
          <w:sz w:val="24"/>
          <w:szCs w:val="24"/>
        </w:rPr>
        <w:t xml:space="preserve"> ja juhtimine.</w:t>
      </w:r>
      <w:r>
        <w:rPr>
          <w:rFonts w:ascii="Times New Roman" w:hAnsi="Times New Roman" w:cs="Times New Roman"/>
          <w:sz w:val="24"/>
          <w:szCs w:val="24"/>
        </w:rPr>
        <w:t xml:space="preserve"> Samas kuulub üldise energiakulu alla ka avaliku sektori asutuse omandis olev transport (ametiautod jms)</w:t>
      </w:r>
      <w:r w:rsidRPr="4B5AD14A">
        <w:rPr>
          <w:rFonts w:ascii="Times New Roman" w:hAnsi="Times New Roman" w:cs="Times New Roman"/>
          <w:sz w:val="24"/>
          <w:szCs w:val="24"/>
        </w:rPr>
        <w:t>,</w:t>
      </w:r>
      <w:r>
        <w:rPr>
          <w:rFonts w:ascii="Times New Roman" w:hAnsi="Times New Roman" w:cs="Times New Roman"/>
          <w:sz w:val="24"/>
          <w:szCs w:val="24"/>
        </w:rPr>
        <w:t xml:space="preserve"> säästukohad (nt elektrifitseerimine) on võimalik leida ka sealt </w:t>
      </w:r>
    </w:p>
    <w:p w14:paraId="1395C5A3" w14:textId="77777777" w:rsidR="00B731C3" w:rsidRDefault="00B731C3" w:rsidP="00B731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Avaliku sektori asutuste omandis olevatest hoonetest, mille kasulik üldpõrandapind on suurem kui 250 m</w:t>
      </w:r>
      <w:r>
        <w:rPr>
          <w:rFonts w:ascii="Times New Roman" w:hAnsi="Times New Roman" w:cs="Times New Roman"/>
          <w:sz w:val="24"/>
          <w:szCs w:val="24"/>
          <w:vertAlign w:val="superscript"/>
        </w:rPr>
        <w:t>2</w:t>
      </w:r>
      <w:r>
        <w:rPr>
          <w:rFonts w:ascii="Times New Roman" w:hAnsi="Times New Roman" w:cs="Times New Roman"/>
          <w:sz w:val="24"/>
          <w:szCs w:val="24"/>
        </w:rPr>
        <w:t xml:space="preserve">, kus on tagatud sisekliima </w:t>
      </w:r>
      <w:r w:rsidRPr="7A526C33">
        <w:rPr>
          <w:rFonts w:ascii="Times New Roman" w:hAnsi="Times New Roman" w:cs="Times New Roman"/>
          <w:sz w:val="24"/>
          <w:szCs w:val="24"/>
        </w:rPr>
        <w:t>ning</w:t>
      </w:r>
      <w:r>
        <w:rPr>
          <w:rFonts w:ascii="Times New Roman" w:hAnsi="Times New Roman" w:cs="Times New Roman"/>
          <w:sz w:val="24"/>
          <w:szCs w:val="24"/>
        </w:rPr>
        <w:t xml:space="preserve"> mis ei olnud rekonstrueeritud energiatõhususe miinimumnõuetele vastavaks (C klass) seisuga 01.01.2024, nendest 3% (üldpõrandapinnast kokku), tuleb rekonstrueerida energiatõhususe miinimumnõuetele vastavaks (C klass) igal aastal.</w:t>
      </w:r>
    </w:p>
    <w:p w14:paraId="73CBB283" w14:textId="77777777" w:rsidR="00B731C3" w:rsidRDefault="00B731C3" w:rsidP="00B731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Tähelepanu tuleb pöörata sellele, et avaliku sektori hoonete rekonstrueerimise nõue rakendub </w:t>
      </w:r>
      <w:r w:rsidRPr="3BEA4298">
        <w:rPr>
          <w:rFonts w:ascii="Times New Roman" w:hAnsi="Times New Roman" w:cs="Times New Roman"/>
          <w:sz w:val="24"/>
          <w:szCs w:val="24"/>
        </w:rPr>
        <w:t>kohustusena kõigile</w:t>
      </w:r>
      <w:r>
        <w:rPr>
          <w:rFonts w:ascii="Times New Roman" w:hAnsi="Times New Roman" w:cs="Times New Roman"/>
          <w:sz w:val="24"/>
          <w:szCs w:val="24"/>
        </w:rPr>
        <w:t xml:space="preserve"> ja ei kohalikule omavalitusele ei tehta erandeid elanike arvu järgi.</w:t>
      </w:r>
    </w:p>
    <w:p w14:paraId="688C438C" w14:textId="77777777" w:rsidR="00B731C3" w:rsidRDefault="00B731C3" w:rsidP="00B731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Seisuga 01.01.2024 oli Eesti avaliku sektori kasutuses olevate hoonete suletud netopind</w:t>
      </w:r>
      <w:r w:rsidRPr="73AF31A1">
        <w:rPr>
          <w:rFonts w:ascii="Times New Roman" w:hAnsi="Times New Roman" w:cs="Times New Roman"/>
          <w:sz w:val="24"/>
          <w:szCs w:val="24"/>
        </w:rPr>
        <w:t>,</w:t>
      </w:r>
      <w:r>
        <w:rPr>
          <w:rFonts w:ascii="Times New Roman" w:hAnsi="Times New Roman" w:cs="Times New Roman"/>
          <w:sz w:val="24"/>
          <w:szCs w:val="24"/>
        </w:rPr>
        <w:t xml:space="preserve"> mis ei vasta seisuga 01.01.2024 energiatõhususe miinimumnõuetele </w:t>
      </w:r>
      <w:r w:rsidRPr="73AF31A1">
        <w:rPr>
          <w:rFonts w:ascii="Times New Roman" w:hAnsi="Times New Roman" w:cs="Times New Roman"/>
          <w:sz w:val="24"/>
          <w:szCs w:val="24"/>
        </w:rPr>
        <w:t>(C klass)</w:t>
      </w:r>
      <w:r>
        <w:rPr>
          <w:rFonts w:ascii="Times New Roman" w:hAnsi="Times New Roman" w:cs="Times New Roman"/>
          <w:sz w:val="24"/>
          <w:szCs w:val="24"/>
        </w:rPr>
        <w:t>,</w:t>
      </w:r>
      <w:r w:rsidRPr="00CD6930">
        <w:rPr>
          <w:rFonts w:ascii="Times New Roman" w:hAnsi="Times New Roman" w:cs="Times New Roman"/>
          <w:sz w:val="24"/>
          <w:szCs w:val="24"/>
        </w:rPr>
        <w:t xml:space="preserve"> on </w:t>
      </w:r>
      <w:r w:rsidRPr="4D90121D">
        <w:rPr>
          <w:rFonts w:ascii="Times New Roman" w:hAnsi="Times New Roman" w:cs="Times New Roman"/>
          <w:sz w:val="24"/>
          <w:szCs w:val="24"/>
        </w:rPr>
        <w:t>ligikaudu</w:t>
      </w:r>
      <w:r w:rsidRPr="00CD6930">
        <w:rPr>
          <w:rFonts w:ascii="Times New Roman" w:hAnsi="Times New Roman" w:cs="Times New Roman"/>
          <w:sz w:val="24"/>
          <w:szCs w:val="24"/>
        </w:rPr>
        <w:t xml:space="preserve"> 6 660 000 m</w:t>
      </w:r>
      <w:r w:rsidRPr="00CD6930">
        <w:rPr>
          <w:rFonts w:ascii="Times New Roman" w:hAnsi="Times New Roman" w:cs="Times New Roman"/>
          <w:sz w:val="24"/>
          <w:szCs w:val="24"/>
          <w:vertAlign w:val="superscript"/>
        </w:rPr>
        <w:t>2</w:t>
      </w:r>
      <w:r w:rsidRPr="00CD6930">
        <w:rPr>
          <w:rFonts w:ascii="Times New Roman" w:hAnsi="Times New Roman" w:cs="Times New Roman"/>
          <w:sz w:val="24"/>
          <w:szCs w:val="24"/>
        </w:rPr>
        <w:t>,</w:t>
      </w:r>
      <w:r>
        <w:rPr>
          <w:rFonts w:ascii="Times New Roman" w:hAnsi="Times New Roman" w:cs="Times New Roman"/>
          <w:sz w:val="24"/>
          <w:szCs w:val="24"/>
        </w:rPr>
        <w:t xml:space="preserve"> millest 3% </w:t>
      </w:r>
      <w:r w:rsidRPr="4D90121D">
        <w:rPr>
          <w:rFonts w:ascii="Times New Roman" w:hAnsi="Times New Roman" w:cs="Times New Roman"/>
          <w:sz w:val="24"/>
          <w:szCs w:val="24"/>
        </w:rPr>
        <w:t>on</w:t>
      </w:r>
      <w:r>
        <w:rPr>
          <w:rFonts w:ascii="Times New Roman" w:hAnsi="Times New Roman" w:cs="Times New Roman"/>
          <w:sz w:val="24"/>
          <w:szCs w:val="24"/>
        </w:rPr>
        <w:t xml:space="preserve"> u197 000 m</w:t>
      </w:r>
      <w:r w:rsidRPr="00AB5E54">
        <w:rPr>
          <w:rFonts w:ascii="Times New Roman" w:hAnsi="Times New Roman" w:cs="Times New Roman"/>
          <w:sz w:val="24"/>
          <w:szCs w:val="24"/>
          <w:vertAlign w:val="superscript"/>
        </w:rPr>
        <w:t>2</w:t>
      </w:r>
      <w:r>
        <w:rPr>
          <w:rFonts w:ascii="Times New Roman" w:hAnsi="Times New Roman" w:cs="Times New Roman"/>
          <w:sz w:val="24"/>
          <w:szCs w:val="24"/>
        </w:rPr>
        <w:t>.</w:t>
      </w:r>
    </w:p>
    <w:p w14:paraId="68084AB7" w14:textId="77777777" w:rsidR="00B731C3" w:rsidRDefault="00B731C3" w:rsidP="00B731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Keskvalitsus on </w:t>
      </w:r>
      <w:r w:rsidRPr="6BB17D74">
        <w:rPr>
          <w:rFonts w:ascii="Times New Roman" w:hAnsi="Times New Roman" w:cs="Times New Roman"/>
          <w:sz w:val="24"/>
          <w:szCs w:val="24"/>
        </w:rPr>
        <w:t xml:space="preserve">viimastel </w:t>
      </w:r>
      <w:r w:rsidRPr="65D3B8DE">
        <w:rPr>
          <w:rFonts w:ascii="Times New Roman" w:hAnsi="Times New Roman" w:cs="Times New Roman"/>
          <w:sz w:val="24"/>
          <w:szCs w:val="24"/>
        </w:rPr>
        <w:t xml:space="preserve">aastatel </w:t>
      </w:r>
      <w:r>
        <w:rPr>
          <w:rFonts w:ascii="Times New Roman" w:hAnsi="Times New Roman" w:cs="Times New Roman"/>
          <w:sz w:val="24"/>
          <w:szCs w:val="24"/>
        </w:rPr>
        <w:t xml:space="preserve"> renoveerinud </w:t>
      </w:r>
      <w:r w:rsidRPr="148407F4">
        <w:rPr>
          <w:rFonts w:ascii="Times New Roman" w:hAnsi="Times New Roman" w:cs="Times New Roman"/>
          <w:sz w:val="24"/>
          <w:szCs w:val="24"/>
        </w:rPr>
        <w:t>ligikaudu</w:t>
      </w:r>
      <w:r>
        <w:rPr>
          <w:rFonts w:ascii="Times New Roman" w:hAnsi="Times New Roman" w:cs="Times New Roman"/>
          <w:sz w:val="24"/>
          <w:szCs w:val="24"/>
        </w:rPr>
        <w:t xml:space="preserve"> 25 000 m</w:t>
      </w:r>
      <w:r>
        <w:rPr>
          <w:rFonts w:ascii="Times New Roman" w:hAnsi="Times New Roman" w:cs="Times New Roman"/>
          <w:sz w:val="24"/>
          <w:szCs w:val="24"/>
          <w:vertAlign w:val="superscript"/>
        </w:rPr>
        <w:t xml:space="preserve">2 </w:t>
      </w:r>
      <w:r w:rsidRPr="08300897">
        <w:rPr>
          <w:rFonts w:ascii="Times New Roman" w:hAnsi="Times New Roman" w:cs="Times New Roman"/>
          <w:sz w:val="24"/>
          <w:szCs w:val="24"/>
        </w:rPr>
        <w:t>aastas.</w:t>
      </w:r>
    </w:p>
    <w:p w14:paraId="21274E29" w14:textId="77777777" w:rsidR="00B731C3" w:rsidRDefault="00B731C3" w:rsidP="00B731C3">
      <w:pPr>
        <w:spacing w:after="0" w:line="240" w:lineRule="auto"/>
        <w:jc w:val="both"/>
        <w:rPr>
          <w:rFonts w:ascii="Times New Roman" w:hAnsi="Times New Roman" w:cs="Times New Roman"/>
          <w:sz w:val="24"/>
          <w:szCs w:val="24"/>
        </w:rPr>
      </w:pPr>
      <w:r w:rsidRPr="08300897">
        <w:rPr>
          <w:rFonts w:ascii="Times New Roman" w:hAnsi="Times New Roman" w:cs="Times New Roman"/>
          <w:sz w:val="24"/>
          <w:szCs w:val="24"/>
        </w:rPr>
        <w:t xml:space="preserve">Tabelis </w:t>
      </w:r>
      <w:r>
        <w:rPr>
          <w:rFonts w:ascii="Times New Roman" w:hAnsi="Times New Roman" w:cs="Times New Roman"/>
          <w:sz w:val="24"/>
          <w:szCs w:val="24"/>
        </w:rPr>
        <w:t>3</w:t>
      </w:r>
      <w:r w:rsidRPr="16C8C512">
        <w:rPr>
          <w:rFonts w:ascii="Times New Roman" w:hAnsi="Times New Roman" w:cs="Times New Roman"/>
          <w:sz w:val="24"/>
          <w:szCs w:val="24"/>
        </w:rPr>
        <w:t xml:space="preserve"> on </w:t>
      </w:r>
      <w:r>
        <w:rPr>
          <w:rFonts w:ascii="Times New Roman" w:hAnsi="Times New Roman" w:cs="Times New Roman"/>
          <w:sz w:val="24"/>
          <w:szCs w:val="24"/>
        </w:rPr>
        <w:t>esitatud</w:t>
      </w:r>
      <w:r w:rsidRPr="16C8C512">
        <w:rPr>
          <w:rFonts w:ascii="Times New Roman" w:hAnsi="Times New Roman" w:cs="Times New Roman"/>
          <w:sz w:val="24"/>
          <w:szCs w:val="24"/>
        </w:rPr>
        <w:t xml:space="preserve"> </w:t>
      </w:r>
      <w:r w:rsidRPr="7199E038">
        <w:rPr>
          <w:rFonts w:ascii="Times New Roman" w:hAnsi="Times New Roman" w:cs="Times New Roman"/>
          <w:sz w:val="24"/>
          <w:szCs w:val="24"/>
        </w:rPr>
        <w:t>rekonstrueeritava</w:t>
      </w:r>
      <w:r>
        <w:rPr>
          <w:rFonts w:ascii="Times New Roman" w:hAnsi="Times New Roman" w:cs="Times New Roman"/>
          <w:sz w:val="24"/>
          <w:szCs w:val="24"/>
        </w:rPr>
        <w:t xml:space="preserve"> pinna jaotus keskvalitsuse, kohalike omavalituste, ülikoolide ja haiglate vahel</w:t>
      </w:r>
      <w:r w:rsidRPr="3EA6BE11">
        <w:rPr>
          <w:rFonts w:ascii="Times New Roman" w:hAnsi="Times New Roman" w:cs="Times New Roman"/>
          <w:sz w:val="24"/>
          <w:szCs w:val="24"/>
        </w:rPr>
        <w:t>.</w:t>
      </w:r>
      <w:r>
        <w:rPr>
          <w:rFonts w:ascii="Times New Roman" w:hAnsi="Times New Roman" w:cs="Times New Roman"/>
          <w:sz w:val="24"/>
          <w:szCs w:val="24"/>
        </w:rPr>
        <w:t xml:space="preserve"> </w:t>
      </w:r>
      <w:r w:rsidRPr="4E4A6665">
        <w:rPr>
          <w:rFonts w:ascii="Times New Roman" w:hAnsi="Times New Roman" w:cs="Times New Roman"/>
          <w:sz w:val="24"/>
          <w:szCs w:val="24"/>
        </w:rPr>
        <w:t>Tabelis</w:t>
      </w:r>
      <w:r w:rsidRPr="18B36982">
        <w:rPr>
          <w:rFonts w:ascii="Times New Roman" w:hAnsi="Times New Roman" w:cs="Times New Roman"/>
          <w:sz w:val="24"/>
          <w:szCs w:val="24"/>
        </w:rPr>
        <w:t xml:space="preserve"> on</w:t>
      </w:r>
      <w:r w:rsidRPr="4E4A6665">
        <w:rPr>
          <w:rFonts w:ascii="Times New Roman" w:hAnsi="Times New Roman" w:cs="Times New Roman"/>
          <w:sz w:val="24"/>
          <w:szCs w:val="24"/>
        </w:rPr>
        <w:t xml:space="preserve"> </w:t>
      </w:r>
      <w:r>
        <w:rPr>
          <w:rFonts w:ascii="Times New Roman" w:hAnsi="Times New Roman" w:cs="Times New Roman"/>
          <w:sz w:val="24"/>
          <w:szCs w:val="24"/>
        </w:rPr>
        <w:t xml:space="preserve">nii hoonete arv kui ka </w:t>
      </w:r>
      <w:r w:rsidRPr="2C8B4950">
        <w:rPr>
          <w:rFonts w:ascii="Times New Roman" w:hAnsi="Times New Roman" w:cs="Times New Roman"/>
          <w:sz w:val="24"/>
          <w:szCs w:val="24"/>
        </w:rPr>
        <w:t>ruutmeetrid</w:t>
      </w:r>
      <w:r>
        <w:rPr>
          <w:rFonts w:ascii="Times New Roman" w:hAnsi="Times New Roman" w:cs="Times New Roman"/>
          <w:sz w:val="24"/>
          <w:szCs w:val="24"/>
        </w:rPr>
        <w:t xml:space="preserve"> </w:t>
      </w:r>
      <w:r w:rsidRPr="794B5224">
        <w:rPr>
          <w:rFonts w:ascii="Times New Roman" w:hAnsi="Times New Roman" w:cs="Times New Roman"/>
          <w:sz w:val="24"/>
          <w:szCs w:val="24"/>
        </w:rPr>
        <w:t>summa ja</w:t>
      </w:r>
      <w:r>
        <w:rPr>
          <w:rFonts w:ascii="Times New Roman" w:hAnsi="Times New Roman" w:cs="Times New Roman"/>
          <w:sz w:val="24"/>
          <w:szCs w:val="24"/>
        </w:rPr>
        <w:t xml:space="preserve"> </w:t>
      </w:r>
      <w:r w:rsidRPr="794B5224">
        <w:rPr>
          <w:rFonts w:ascii="Times New Roman" w:hAnsi="Times New Roman" w:cs="Times New Roman"/>
          <w:sz w:val="24"/>
          <w:szCs w:val="24"/>
        </w:rPr>
        <w:t>osakaaluna</w:t>
      </w:r>
      <w:r>
        <w:rPr>
          <w:rFonts w:ascii="Times New Roman" w:hAnsi="Times New Roman" w:cs="Times New Roman"/>
          <w:sz w:val="24"/>
          <w:szCs w:val="24"/>
        </w:rPr>
        <w:t>.</w:t>
      </w:r>
    </w:p>
    <w:p w14:paraId="7BEE4226" w14:textId="77777777" w:rsidR="00B731C3" w:rsidRPr="00922054" w:rsidRDefault="00B731C3" w:rsidP="00B731C3">
      <w:pPr>
        <w:spacing w:after="0" w:line="240" w:lineRule="auto"/>
        <w:jc w:val="both"/>
        <w:rPr>
          <w:rFonts w:cstheme="minorHAnsi"/>
          <w:sz w:val="24"/>
          <w:szCs w:val="24"/>
        </w:rPr>
      </w:pPr>
    </w:p>
    <w:p w14:paraId="7E6CA20A" w14:textId="77777777" w:rsidR="00B731C3" w:rsidRPr="00922054" w:rsidRDefault="00B731C3" w:rsidP="00B731C3">
      <w:pPr>
        <w:spacing w:after="0" w:line="240" w:lineRule="auto"/>
        <w:jc w:val="both"/>
        <w:rPr>
          <w:rFonts w:cstheme="minorHAnsi"/>
          <w:sz w:val="24"/>
          <w:szCs w:val="24"/>
        </w:rPr>
      </w:pPr>
      <w:r w:rsidRPr="00922054">
        <w:rPr>
          <w:rFonts w:cstheme="minorHAnsi"/>
          <w:sz w:val="24"/>
          <w:szCs w:val="24"/>
        </w:rPr>
        <w:t>Tabel 3. Avaliku sektori rekonstrueeritava pinna jaotus</w:t>
      </w:r>
    </w:p>
    <w:tbl>
      <w:tblPr>
        <w:tblW w:w="8359" w:type="dxa"/>
        <w:tblCellMar>
          <w:left w:w="70" w:type="dxa"/>
          <w:right w:w="70" w:type="dxa"/>
        </w:tblCellMar>
        <w:tblLook w:val="04A0" w:firstRow="1" w:lastRow="0" w:firstColumn="1" w:lastColumn="0" w:noHBand="0" w:noVBand="1"/>
      </w:tblPr>
      <w:tblGrid>
        <w:gridCol w:w="2547"/>
        <w:gridCol w:w="1559"/>
        <w:gridCol w:w="1134"/>
        <w:gridCol w:w="1559"/>
        <w:gridCol w:w="1560"/>
      </w:tblGrid>
      <w:tr w:rsidR="00B731C3" w:rsidRPr="00922054" w14:paraId="6AE0FD14" w14:textId="77777777" w:rsidTr="00A13E67">
        <w:trPr>
          <w:trHeight w:val="290"/>
        </w:trPr>
        <w:tc>
          <w:tcPr>
            <w:tcW w:w="2547" w:type="dxa"/>
            <w:tcBorders>
              <w:top w:val="single" w:sz="4" w:space="0" w:color="auto"/>
              <w:left w:val="single" w:sz="4" w:space="0" w:color="auto"/>
              <w:bottom w:val="single" w:sz="4" w:space="0" w:color="auto"/>
              <w:right w:val="single" w:sz="4" w:space="0" w:color="auto"/>
            </w:tcBorders>
            <w:noWrap/>
            <w:vAlign w:val="bottom"/>
            <w:hideMark/>
          </w:tcPr>
          <w:p w14:paraId="28914BC0" w14:textId="77777777" w:rsidR="00B731C3" w:rsidRPr="00922054" w:rsidRDefault="00B731C3" w:rsidP="00A13E67">
            <w:pPr>
              <w:spacing w:after="0" w:line="240" w:lineRule="auto"/>
              <w:rPr>
                <w:rFonts w:eastAsia="Times New Roman" w:cstheme="minorHAnsi"/>
                <w:color w:val="000000"/>
                <w:lang w:eastAsia="et-EE"/>
              </w:rPr>
            </w:pPr>
            <w:r w:rsidRPr="00922054">
              <w:rPr>
                <w:rFonts w:eastAsia="Times New Roman" w:cstheme="minorHAnsi"/>
                <w:color w:val="000000"/>
                <w:lang w:eastAsia="et-EE"/>
              </w:rPr>
              <w:t> </w:t>
            </w:r>
          </w:p>
        </w:tc>
        <w:tc>
          <w:tcPr>
            <w:tcW w:w="1559" w:type="dxa"/>
            <w:tcBorders>
              <w:top w:val="single" w:sz="4" w:space="0" w:color="auto"/>
              <w:left w:val="nil"/>
              <w:bottom w:val="single" w:sz="4" w:space="0" w:color="auto"/>
              <w:right w:val="single" w:sz="4" w:space="0" w:color="auto"/>
            </w:tcBorders>
            <w:noWrap/>
            <w:vAlign w:val="bottom"/>
            <w:hideMark/>
          </w:tcPr>
          <w:p w14:paraId="6913D0CD" w14:textId="77777777" w:rsidR="00B731C3" w:rsidRPr="00922054" w:rsidRDefault="00B731C3" w:rsidP="00A13E67">
            <w:pPr>
              <w:spacing w:after="0" w:line="240" w:lineRule="auto"/>
              <w:jc w:val="center"/>
              <w:rPr>
                <w:rFonts w:eastAsia="Times New Roman" w:cstheme="minorHAnsi"/>
                <w:color w:val="000000"/>
                <w:lang w:eastAsia="et-EE"/>
              </w:rPr>
            </w:pPr>
            <w:r w:rsidRPr="00922054">
              <w:rPr>
                <w:rFonts w:eastAsia="Times New Roman" w:cstheme="minorHAnsi"/>
                <w:color w:val="000000"/>
                <w:lang w:eastAsia="et-EE"/>
              </w:rPr>
              <w:t>Keskvalitsus</w:t>
            </w:r>
          </w:p>
        </w:tc>
        <w:tc>
          <w:tcPr>
            <w:tcW w:w="1134" w:type="dxa"/>
            <w:tcBorders>
              <w:top w:val="single" w:sz="4" w:space="0" w:color="auto"/>
              <w:left w:val="nil"/>
              <w:bottom w:val="single" w:sz="4" w:space="0" w:color="auto"/>
              <w:right w:val="single" w:sz="4" w:space="0" w:color="auto"/>
            </w:tcBorders>
            <w:noWrap/>
            <w:vAlign w:val="bottom"/>
            <w:hideMark/>
          </w:tcPr>
          <w:p w14:paraId="383E3053" w14:textId="77777777" w:rsidR="00B731C3" w:rsidRPr="00922054" w:rsidRDefault="00B731C3" w:rsidP="00A13E67">
            <w:pPr>
              <w:spacing w:after="0" w:line="240" w:lineRule="auto"/>
              <w:jc w:val="center"/>
              <w:rPr>
                <w:rFonts w:eastAsia="Times New Roman" w:cstheme="minorHAnsi"/>
                <w:color w:val="000000"/>
                <w:lang w:eastAsia="et-EE"/>
              </w:rPr>
            </w:pPr>
            <w:r w:rsidRPr="00922054">
              <w:rPr>
                <w:rFonts w:eastAsia="Times New Roman" w:cstheme="minorHAnsi"/>
                <w:color w:val="000000"/>
                <w:lang w:eastAsia="et-EE"/>
              </w:rPr>
              <w:t>KOV</w:t>
            </w:r>
          </w:p>
        </w:tc>
        <w:tc>
          <w:tcPr>
            <w:tcW w:w="1559" w:type="dxa"/>
            <w:tcBorders>
              <w:top w:val="single" w:sz="4" w:space="0" w:color="auto"/>
              <w:left w:val="nil"/>
              <w:bottom w:val="single" w:sz="4" w:space="0" w:color="auto"/>
              <w:right w:val="single" w:sz="4" w:space="0" w:color="auto"/>
            </w:tcBorders>
            <w:noWrap/>
            <w:vAlign w:val="bottom"/>
            <w:hideMark/>
          </w:tcPr>
          <w:p w14:paraId="44D0B08D" w14:textId="77777777" w:rsidR="00B731C3" w:rsidRPr="00922054" w:rsidRDefault="00B731C3" w:rsidP="00A13E67">
            <w:pPr>
              <w:spacing w:after="0" w:line="240" w:lineRule="auto"/>
              <w:jc w:val="center"/>
              <w:rPr>
                <w:rFonts w:eastAsia="Times New Roman" w:cstheme="minorHAnsi"/>
                <w:color w:val="000000"/>
                <w:lang w:eastAsia="et-EE"/>
              </w:rPr>
            </w:pPr>
            <w:r w:rsidRPr="00922054">
              <w:rPr>
                <w:rFonts w:eastAsia="Times New Roman" w:cstheme="minorHAnsi"/>
                <w:color w:val="000000"/>
                <w:lang w:eastAsia="et-EE"/>
              </w:rPr>
              <w:t>Ülikoolid</w:t>
            </w:r>
          </w:p>
        </w:tc>
        <w:tc>
          <w:tcPr>
            <w:tcW w:w="1560" w:type="dxa"/>
            <w:tcBorders>
              <w:top w:val="single" w:sz="4" w:space="0" w:color="auto"/>
              <w:left w:val="nil"/>
              <w:bottom w:val="single" w:sz="4" w:space="0" w:color="auto"/>
              <w:right w:val="single" w:sz="4" w:space="0" w:color="auto"/>
            </w:tcBorders>
            <w:noWrap/>
            <w:vAlign w:val="bottom"/>
            <w:hideMark/>
          </w:tcPr>
          <w:p w14:paraId="1511E73E" w14:textId="77777777" w:rsidR="00B731C3" w:rsidRPr="00922054" w:rsidRDefault="00B731C3" w:rsidP="00A13E67">
            <w:pPr>
              <w:spacing w:after="0" w:line="240" w:lineRule="auto"/>
              <w:jc w:val="center"/>
              <w:rPr>
                <w:rFonts w:eastAsia="Times New Roman" w:cstheme="minorHAnsi"/>
                <w:color w:val="000000"/>
                <w:lang w:eastAsia="et-EE"/>
              </w:rPr>
            </w:pPr>
            <w:r w:rsidRPr="00922054">
              <w:rPr>
                <w:rFonts w:eastAsia="Times New Roman" w:cstheme="minorHAnsi"/>
                <w:color w:val="000000"/>
                <w:lang w:eastAsia="et-EE"/>
              </w:rPr>
              <w:t xml:space="preserve">Haiglad </w:t>
            </w:r>
          </w:p>
        </w:tc>
      </w:tr>
      <w:tr w:rsidR="00B731C3" w:rsidRPr="00922054" w14:paraId="4D14A161" w14:textId="77777777" w:rsidTr="00A13E67">
        <w:trPr>
          <w:trHeight w:val="290"/>
        </w:trPr>
        <w:tc>
          <w:tcPr>
            <w:tcW w:w="2547" w:type="dxa"/>
            <w:tcBorders>
              <w:top w:val="nil"/>
              <w:left w:val="single" w:sz="4" w:space="0" w:color="auto"/>
              <w:bottom w:val="single" w:sz="4" w:space="0" w:color="auto"/>
              <w:right w:val="single" w:sz="4" w:space="0" w:color="auto"/>
            </w:tcBorders>
            <w:noWrap/>
            <w:vAlign w:val="bottom"/>
            <w:hideMark/>
          </w:tcPr>
          <w:p w14:paraId="5459D403" w14:textId="77777777" w:rsidR="00B731C3" w:rsidRPr="00922054" w:rsidRDefault="00B731C3" w:rsidP="00A13E67">
            <w:pPr>
              <w:spacing w:after="0" w:line="240" w:lineRule="auto"/>
              <w:rPr>
                <w:rFonts w:eastAsia="Times New Roman" w:cstheme="minorHAnsi"/>
                <w:color w:val="000000"/>
                <w:lang w:eastAsia="et-EE"/>
              </w:rPr>
            </w:pPr>
            <w:r w:rsidRPr="00922054">
              <w:rPr>
                <w:rFonts w:eastAsia="Times New Roman" w:cstheme="minorHAnsi"/>
                <w:color w:val="000000"/>
                <w:lang w:eastAsia="et-EE"/>
              </w:rPr>
              <w:t xml:space="preserve">Kokku hooneid (tk) </w:t>
            </w:r>
          </w:p>
        </w:tc>
        <w:tc>
          <w:tcPr>
            <w:tcW w:w="1559" w:type="dxa"/>
            <w:tcBorders>
              <w:top w:val="nil"/>
              <w:left w:val="nil"/>
              <w:bottom w:val="single" w:sz="4" w:space="0" w:color="auto"/>
              <w:right w:val="single" w:sz="4" w:space="0" w:color="auto"/>
            </w:tcBorders>
            <w:noWrap/>
            <w:vAlign w:val="bottom"/>
            <w:hideMark/>
          </w:tcPr>
          <w:p w14:paraId="152758B9" w14:textId="77777777" w:rsidR="00B731C3" w:rsidRPr="00922054" w:rsidRDefault="00B731C3" w:rsidP="00A13E67">
            <w:pPr>
              <w:spacing w:after="0" w:line="240" w:lineRule="auto"/>
              <w:jc w:val="center"/>
              <w:rPr>
                <w:rFonts w:eastAsia="Times New Roman" w:cstheme="minorHAnsi"/>
                <w:color w:val="000000"/>
                <w:lang w:eastAsia="et-EE"/>
              </w:rPr>
            </w:pPr>
            <w:r w:rsidRPr="00922054">
              <w:rPr>
                <w:rFonts w:eastAsia="Times New Roman" w:cstheme="minorHAnsi"/>
                <w:color w:val="000000"/>
                <w:lang w:eastAsia="et-EE"/>
              </w:rPr>
              <w:t>790</w:t>
            </w:r>
          </w:p>
        </w:tc>
        <w:tc>
          <w:tcPr>
            <w:tcW w:w="1134" w:type="dxa"/>
            <w:tcBorders>
              <w:top w:val="nil"/>
              <w:left w:val="nil"/>
              <w:bottom w:val="single" w:sz="4" w:space="0" w:color="auto"/>
              <w:right w:val="single" w:sz="4" w:space="0" w:color="auto"/>
            </w:tcBorders>
            <w:noWrap/>
            <w:vAlign w:val="bottom"/>
            <w:hideMark/>
          </w:tcPr>
          <w:p w14:paraId="21837EAF" w14:textId="77777777" w:rsidR="00B731C3" w:rsidRPr="00922054" w:rsidRDefault="00B731C3" w:rsidP="00A13E67">
            <w:pPr>
              <w:spacing w:after="0" w:line="240" w:lineRule="auto"/>
              <w:jc w:val="center"/>
              <w:rPr>
                <w:rFonts w:eastAsia="Times New Roman" w:cstheme="minorHAnsi"/>
                <w:color w:val="000000"/>
                <w:lang w:eastAsia="et-EE"/>
              </w:rPr>
            </w:pPr>
            <w:r w:rsidRPr="00922054">
              <w:rPr>
                <w:rFonts w:eastAsia="Times New Roman" w:cstheme="minorHAnsi"/>
                <w:color w:val="000000"/>
                <w:lang w:eastAsia="et-EE"/>
              </w:rPr>
              <w:t>3 722</w:t>
            </w:r>
          </w:p>
        </w:tc>
        <w:tc>
          <w:tcPr>
            <w:tcW w:w="1559" w:type="dxa"/>
            <w:tcBorders>
              <w:top w:val="nil"/>
              <w:left w:val="nil"/>
              <w:bottom w:val="single" w:sz="4" w:space="0" w:color="auto"/>
              <w:right w:val="single" w:sz="4" w:space="0" w:color="auto"/>
            </w:tcBorders>
            <w:noWrap/>
            <w:vAlign w:val="bottom"/>
            <w:hideMark/>
          </w:tcPr>
          <w:p w14:paraId="4C9FD25F" w14:textId="77777777" w:rsidR="00B731C3" w:rsidRPr="00922054" w:rsidRDefault="00B731C3" w:rsidP="00A13E67">
            <w:pPr>
              <w:spacing w:after="0" w:line="240" w:lineRule="auto"/>
              <w:jc w:val="center"/>
              <w:rPr>
                <w:rFonts w:eastAsia="Times New Roman" w:cstheme="minorHAnsi"/>
                <w:color w:val="000000"/>
                <w:lang w:eastAsia="et-EE"/>
              </w:rPr>
            </w:pPr>
            <w:r w:rsidRPr="00922054">
              <w:rPr>
                <w:rFonts w:eastAsia="Times New Roman" w:cstheme="minorHAnsi"/>
                <w:color w:val="000000"/>
                <w:lang w:eastAsia="et-EE"/>
              </w:rPr>
              <w:t>139</w:t>
            </w:r>
          </w:p>
        </w:tc>
        <w:tc>
          <w:tcPr>
            <w:tcW w:w="1560" w:type="dxa"/>
            <w:tcBorders>
              <w:top w:val="nil"/>
              <w:left w:val="nil"/>
              <w:bottom w:val="single" w:sz="4" w:space="0" w:color="auto"/>
              <w:right w:val="single" w:sz="4" w:space="0" w:color="auto"/>
            </w:tcBorders>
            <w:noWrap/>
            <w:vAlign w:val="bottom"/>
            <w:hideMark/>
          </w:tcPr>
          <w:p w14:paraId="2A565557" w14:textId="77777777" w:rsidR="00B731C3" w:rsidRPr="00922054" w:rsidRDefault="00B731C3" w:rsidP="00A13E67">
            <w:pPr>
              <w:spacing w:after="0" w:line="240" w:lineRule="auto"/>
              <w:jc w:val="center"/>
              <w:rPr>
                <w:rFonts w:eastAsia="Times New Roman" w:cstheme="minorHAnsi"/>
                <w:color w:val="000000"/>
                <w:lang w:eastAsia="et-EE"/>
              </w:rPr>
            </w:pPr>
            <w:r w:rsidRPr="00922054">
              <w:rPr>
                <w:rFonts w:eastAsia="Times New Roman" w:cstheme="minorHAnsi"/>
                <w:color w:val="000000"/>
                <w:lang w:eastAsia="et-EE"/>
              </w:rPr>
              <w:t>95</w:t>
            </w:r>
          </w:p>
        </w:tc>
      </w:tr>
      <w:tr w:rsidR="00B731C3" w:rsidRPr="00922054" w14:paraId="77C18F17" w14:textId="77777777" w:rsidTr="00A13E67">
        <w:trPr>
          <w:trHeight w:val="290"/>
        </w:trPr>
        <w:tc>
          <w:tcPr>
            <w:tcW w:w="2547" w:type="dxa"/>
            <w:tcBorders>
              <w:top w:val="nil"/>
              <w:left w:val="single" w:sz="4" w:space="0" w:color="auto"/>
              <w:bottom w:val="single" w:sz="4" w:space="0" w:color="auto"/>
              <w:right w:val="single" w:sz="4" w:space="0" w:color="auto"/>
            </w:tcBorders>
            <w:noWrap/>
            <w:vAlign w:val="bottom"/>
            <w:hideMark/>
          </w:tcPr>
          <w:p w14:paraId="2B7FD79D" w14:textId="77777777" w:rsidR="00B731C3" w:rsidRPr="00922054" w:rsidRDefault="00B731C3" w:rsidP="00A13E67">
            <w:pPr>
              <w:spacing w:after="0" w:line="240" w:lineRule="auto"/>
              <w:rPr>
                <w:rFonts w:eastAsia="Times New Roman" w:cstheme="minorHAnsi"/>
                <w:color w:val="000000"/>
                <w:lang w:eastAsia="et-EE"/>
              </w:rPr>
            </w:pPr>
            <w:r w:rsidRPr="00922054">
              <w:rPr>
                <w:rFonts w:eastAsia="Times New Roman" w:cstheme="minorHAnsi"/>
                <w:color w:val="000000"/>
                <w:lang w:eastAsia="et-EE"/>
              </w:rPr>
              <w:t>Kokku hooneid (%)</w:t>
            </w:r>
          </w:p>
        </w:tc>
        <w:tc>
          <w:tcPr>
            <w:tcW w:w="1559" w:type="dxa"/>
            <w:tcBorders>
              <w:top w:val="nil"/>
              <w:left w:val="nil"/>
              <w:bottom w:val="single" w:sz="4" w:space="0" w:color="auto"/>
              <w:right w:val="single" w:sz="4" w:space="0" w:color="auto"/>
            </w:tcBorders>
            <w:noWrap/>
            <w:vAlign w:val="bottom"/>
            <w:hideMark/>
          </w:tcPr>
          <w:p w14:paraId="627F5F8D" w14:textId="77777777" w:rsidR="00B731C3" w:rsidRPr="00922054" w:rsidRDefault="00B731C3" w:rsidP="00A13E67">
            <w:pPr>
              <w:spacing w:after="0" w:line="240" w:lineRule="auto"/>
              <w:jc w:val="center"/>
              <w:rPr>
                <w:rFonts w:eastAsia="Times New Roman" w:cstheme="minorHAnsi"/>
                <w:color w:val="000000"/>
                <w:lang w:eastAsia="et-EE"/>
              </w:rPr>
            </w:pPr>
            <w:r w:rsidRPr="00922054">
              <w:rPr>
                <w:rFonts w:eastAsia="Times New Roman" w:cstheme="minorHAnsi"/>
                <w:color w:val="000000"/>
                <w:lang w:eastAsia="et-EE"/>
              </w:rPr>
              <w:t>17%</w:t>
            </w:r>
          </w:p>
        </w:tc>
        <w:tc>
          <w:tcPr>
            <w:tcW w:w="1134" w:type="dxa"/>
            <w:tcBorders>
              <w:top w:val="nil"/>
              <w:left w:val="nil"/>
              <w:bottom w:val="single" w:sz="4" w:space="0" w:color="auto"/>
              <w:right w:val="single" w:sz="4" w:space="0" w:color="auto"/>
            </w:tcBorders>
            <w:noWrap/>
            <w:vAlign w:val="bottom"/>
            <w:hideMark/>
          </w:tcPr>
          <w:p w14:paraId="4B8182EE" w14:textId="77777777" w:rsidR="00B731C3" w:rsidRPr="00922054" w:rsidRDefault="00B731C3" w:rsidP="00A13E67">
            <w:pPr>
              <w:spacing w:after="0" w:line="240" w:lineRule="auto"/>
              <w:jc w:val="center"/>
              <w:rPr>
                <w:rFonts w:eastAsia="Times New Roman" w:cstheme="minorHAnsi"/>
                <w:color w:val="000000"/>
                <w:lang w:eastAsia="et-EE"/>
              </w:rPr>
            </w:pPr>
            <w:r w:rsidRPr="00922054">
              <w:rPr>
                <w:rFonts w:eastAsia="Times New Roman" w:cstheme="minorHAnsi"/>
                <w:color w:val="000000"/>
                <w:lang w:eastAsia="et-EE"/>
              </w:rPr>
              <w:t>79%</w:t>
            </w:r>
          </w:p>
        </w:tc>
        <w:tc>
          <w:tcPr>
            <w:tcW w:w="1559" w:type="dxa"/>
            <w:tcBorders>
              <w:top w:val="nil"/>
              <w:left w:val="nil"/>
              <w:bottom w:val="single" w:sz="4" w:space="0" w:color="auto"/>
              <w:right w:val="single" w:sz="4" w:space="0" w:color="auto"/>
            </w:tcBorders>
            <w:noWrap/>
            <w:vAlign w:val="bottom"/>
            <w:hideMark/>
          </w:tcPr>
          <w:p w14:paraId="4288D514" w14:textId="77777777" w:rsidR="00B731C3" w:rsidRPr="00922054" w:rsidRDefault="00B731C3" w:rsidP="00A13E67">
            <w:pPr>
              <w:spacing w:after="0" w:line="240" w:lineRule="auto"/>
              <w:jc w:val="center"/>
              <w:rPr>
                <w:rFonts w:eastAsia="Times New Roman" w:cstheme="minorHAnsi"/>
                <w:color w:val="000000"/>
                <w:lang w:eastAsia="et-EE"/>
              </w:rPr>
            </w:pPr>
            <w:r w:rsidRPr="00922054">
              <w:rPr>
                <w:rFonts w:eastAsia="Times New Roman" w:cstheme="minorHAnsi"/>
                <w:color w:val="000000"/>
                <w:lang w:eastAsia="et-EE"/>
              </w:rPr>
              <w:t>3%</w:t>
            </w:r>
          </w:p>
        </w:tc>
        <w:tc>
          <w:tcPr>
            <w:tcW w:w="1560" w:type="dxa"/>
            <w:tcBorders>
              <w:top w:val="nil"/>
              <w:left w:val="nil"/>
              <w:bottom w:val="single" w:sz="4" w:space="0" w:color="auto"/>
              <w:right w:val="single" w:sz="4" w:space="0" w:color="auto"/>
            </w:tcBorders>
            <w:noWrap/>
            <w:vAlign w:val="bottom"/>
            <w:hideMark/>
          </w:tcPr>
          <w:p w14:paraId="16633A55" w14:textId="77777777" w:rsidR="00B731C3" w:rsidRPr="00922054" w:rsidRDefault="00B731C3" w:rsidP="00A13E67">
            <w:pPr>
              <w:spacing w:after="0" w:line="240" w:lineRule="auto"/>
              <w:jc w:val="center"/>
              <w:rPr>
                <w:rFonts w:eastAsia="Times New Roman" w:cstheme="minorHAnsi"/>
                <w:color w:val="000000"/>
                <w:lang w:eastAsia="et-EE"/>
              </w:rPr>
            </w:pPr>
            <w:r w:rsidRPr="00922054">
              <w:rPr>
                <w:rFonts w:eastAsia="Times New Roman" w:cstheme="minorHAnsi"/>
                <w:color w:val="000000"/>
                <w:lang w:eastAsia="et-EE"/>
              </w:rPr>
              <w:t>2%</w:t>
            </w:r>
          </w:p>
        </w:tc>
      </w:tr>
      <w:tr w:rsidR="00B731C3" w:rsidRPr="00922054" w14:paraId="6D3E212B" w14:textId="77777777" w:rsidTr="00A13E67">
        <w:trPr>
          <w:trHeight w:val="290"/>
        </w:trPr>
        <w:tc>
          <w:tcPr>
            <w:tcW w:w="2547" w:type="dxa"/>
            <w:tcBorders>
              <w:top w:val="nil"/>
              <w:left w:val="single" w:sz="4" w:space="0" w:color="auto"/>
              <w:bottom w:val="single" w:sz="4" w:space="0" w:color="auto"/>
              <w:right w:val="single" w:sz="4" w:space="0" w:color="auto"/>
            </w:tcBorders>
            <w:noWrap/>
            <w:vAlign w:val="bottom"/>
            <w:hideMark/>
          </w:tcPr>
          <w:p w14:paraId="579B58BE" w14:textId="77777777" w:rsidR="00B731C3" w:rsidRPr="00922054" w:rsidRDefault="00B731C3" w:rsidP="00A13E67">
            <w:pPr>
              <w:spacing w:after="0" w:line="240" w:lineRule="auto"/>
              <w:rPr>
                <w:rFonts w:eastAsia="Times New Roman" w:cstheme="minorHAnsi"/>
                <w:color w:val="000000"/>
                <w:lang w:eastAsia="et-EE"/>
              </w:rPr>
            </w:pPr>
            <w:r w:rsidRPr="00922054">
              <w:rPr>
                <w:rFonts w:eastAsia="Times New Roman" w:cstheme="minorHAnsi"/>
                <w:color w:val="000000"/>
                <w:lang w:eastAsia="et-EE"/>
              </w:rPr>
              <w:t>Kokku ruutmeetreid (m</w:t>
            </w:r>
            <w:r w:rsidRPr="00AB5E54">
              <w:rPr>
                <w:rFonts w:eastAsia="Times New Roman" w:cstheme="minorHAnsi"/>
                <w:color w:val="000000"/>
                <w:vertAlign w:val="superscript"/>
                <w:lang w:eastAsia="et-EE"/>
              </w:rPr>
              <w:t>2</w:t>
            </w:r>
            <w:r w:rsidRPr="00922054">
              <w:rPr>
                <w:rFonts w:eastAsia="Times New Roman" w:cstheme="minorHAnsi"/>
                <w:color w:val="000000"/>
                <w:lang w:eastAsia="et-EE"/>
              </w:rPr>
              <w:t xml:space="preserve">) </w:t>
            </w:r>
          </w:p>
        </w:tc>
        <w:tc>
          <w:tcPr>
            <w:tcW w:w="1559" w:type="dxa"/>
            <w:tcBorders>
              <w:top w:val="nil"/>
              <w:left w:val="nil"/>
              <w:bottom w:val="single" w:sz="4" w:space="0" w:color="auto"/>
              <w:right w:val="single" w:sz="4" w:space="0" w:color="auto"/>
            </w:tcBorders>
            <w:noWrap/>
            <w:vAlign w:val="bottom"/>
            <w:hideMark/>
          </w:tcPr>
          <w:p w14:paraId="7DA866BB" w14:textId="77777777" w:rsidR="00B731C3" w:rsidRPr="00922054" w:rsidRDefault="00B731C3" w:rsidP="00A13E67">
            <w:pPr>
              <w:spacing w:after="0" w:line="240" w:lineRule="auto"/>
              <w:jc w:val="center"/>
              <w:rPr>
                <w:rFonts w:eastAsia="Times New Roman" w:cstheme="minorHAnsi"/>
                <w:color w:val="000000"/>
                <w:lang w:eastAsia="et-EE"/>
              </w:rPr>
            </w:pPr>
            <w:r w:rsidRPr="00922054">
              <w:rPr>
                <w:rFonts w:eastAsia="Times New Roman" w:cstheme="minorHAnsi"/>
                <w:color w:val="000000"/>
                <w:lang w:eastAsia="et-EE"/>
              </w:rPr>
              <w:t>2 062 505</w:t>
            </w:r>
          </w:p>
        </w:tc>
        <w:tc>
          <w:tcPr>
            <w:tcW w:w="1134" w:type="dxa"/>
            <w:tcBorders>
              <w:top w:val="nil"/>
              <w:left w:val="nil"/>
              <w:bottom w:val="single" w:sz="4" w:space="0" w:color="auto"/>
              <w:right w:val="single" w:sz="4" w:space="0" w:color="auto"/>
            </w:tcBorders>
            <w:noWrap/>
            <w:vAlign w:val="bottom"/>
            <w:hideMark/>
          </w:tcPr>
          <w:p w14:paraId="407A21D9" w14:textId="77777777" w:rsidR="00B731C3" w:rsidRPr="00922054" w:rsidRDefault="00B731C3" w:rsidP="00A13E67">
            <w:pPr>
              <w:spacing w:after="0" w:line="240" w:lineRule="auto"/>
              <w:jc w:val="center"/>
              <w:rPr>
                <w:rFonts w:eastAsia="Times New Roman" w:cstheme="minorHAnsi"/>
                <w:color w:val="000000"/>
                <w:lang w:eastAsia="et-EE"/>
              </w:rPr>
            </w:pPr>
            <w:r w:rsidRPr="00922054">
              <w:rPr>
                <w:rFonts w:eastAsia="Times New Roman" w:cstheme="minorHAnsi"/>
                <w:color w:val="000000"/>
                <w:lang w:eastAsia="et-EE"/>
              </w:rPr>
              <w:t>5 773 769</w:t>
            </w:r>
          </w:p>
        </w:tc>
        <w:tc>
          <w:tcPr>
            <w:tcW w:w="1559" w:type="dxa"/>
            <w:tcBorders>
              <w:top w:val="nil"/>
              <w:left w:val="nil"/>
              <w:bottom w:val="single" w:sz="4" w:space="0" w:color="auto"/>
              <w:right w:val="single" w:sz="4" w:space="0" w:color="auto"/>
            </w:tcBorders>
            <w:noWrap/>
            <w:vAlign w:val="bottom"/>
            <w:hideMark/>
          </w:tcPr>
          <w:p w14:paraId="28715CDF" w14:textId="77777777" w:rsidR="00B731C3" w:rsidRPr="00922054" w:rsidRDefault="00B731C3" w:rsidP="00A13E67">
            <w:pPr>
              <w:spacing w:after="0" w:line="240" w:lineRule="auto"/>
              <w:jc w:val="center"/>
              <w:rPr>
                <w:rFonts w:eastAsia="Times New Roman" w:cstheme="minorHAnsi"/>
                <w:color w:val="000000"/>
                <w:lang w:eastAsia="et-EE"/>
              </w:rPr>
            </w:pPr>
            <w:r w:rsidRPr="00922054">
              <w:rPr>
                <w:rFonts w:eastAsia="Times New Roman" w:cstheme="minorHAnsi"/>
                <w:color w:val="000000"/>
                <w:lang w:eastAsia="et-EE"/>
              </w:rPr>
              <w:t>709 284</w:t>
            </w:r>
          </w:p>
        </w:tc>
        <w:tc>
          <w:tcPr>
            <w:tcW w:w="1560" w:type="dxa"/>
            <w:tcBorders>
              <w:top w:val="nil"/>
              <w:left w:val="nil"/>
              <w:bottom w:val="single" w:sz="4" w:space="0" w:color="auto"/>
              <w:right w:val="single" w:sz="4" w:space="0" w:color="auto"/>
            </w:tcBorders>
            <w:noWrap/>
            <w:vAlign w:val="bottom"/>
            <w:hideMark/>
          </w:tcPr>
          <w:p w14:paraId="2004A517" w14:textId="77777777" w:rsidR="00B731C3" w:rsidRPr="00922054" w:rsidRDefault="00B731C3" w:rsidP="00A13E67">
            <w:pPr>
              <w:spacing w:after="0" w:line="240" w:lineRule="auto"/>
              <w:jc w:val="center"/>
              <w:rPr>
                <w:rFonts w:eastAsia="Times New Roman" w:cstheme="minorHAnsi"/>
                <w:color w:val="000000"/>
                <w:lang w:eastAsia="et-EE"/>
              </w:rPr>
            </w:pPr>
            <w:r w:rsidRPr="00922054">
              <w:rPr>
                <w:rFonts w:eastAsia="Times New Roman" w:cstheme="minorHAnsi"/>
                <w:color w:val="000000"/>
                <w:lang w:eastAsia="et-EE"/>
              </w:rPr>
              <w:t>491 932</w:t>
            </w:r>
          </w:p>
        </w:tc>
      </w:tr>
      <w:tr w:rsidR="00B731C3" w:rsidRPr="00922054" w14:paraId="3B48E85D" w14:textId="77777777" w:rsidTr="00A13E67">
        <w:trPr>
          <w:trHeight w:val="290"/>
        </w:trPr>
        <w:tc>
          <w:tcPr>
            <w:tcW w:w="2547" w:type="dxa"/>
            <w:tcBorders>
              <w:top w:val="nil"/>
              <w:left w:val="single" w:sz="4" w:space="0" w:color="auto"/>
              <w:bottom w:val="single" w:sz="4" w:space="0" w:color="auto"/>
              <w:right w:val="single" w:sz="4" w:space="0" w:color="auto"/>
            </w:tcBorders>
            <w:noWrap/>
            <w:vAlign w:val="bottom"/>
            <w:hideMark/>
          </w:tcPr>
          <w:p w14:paraId="038B6935" w14:textId="77777777" w:rsidR="00B731C3" w:rsidRPr="00922054" w:rsidRDefault="00B731C3" w:rsidP="00A13E67">
            <w:pPr>
              <w:spacing w:after="0" w:line="240" w:lineRule="auto"/>
              <w:rPr>
                <w:rFonts w:eastAsia="Times New Roman" w:cstheme="minorHAnsi"/>
                <w:color w:val="000000"/>
                <w:lang w:eastAsia="et-EE"/>
              </w:rPr>
            </w:pPr>
            <w:r w:rsidRPr="00922054">
              <w:rPr>
                <w:rFonts w:eastAsia="Times New Roman" w:cstheme="minorHAnsi"/>
                <w:color w:val="000000"/>
                <w:lang w:eastAsia="et-EE"/>
              </w:rPr>
              <w:t xml:space="preserve">Kokku ruutmeetreid (%) </w:t>
            </w:r>
          </w:p>
        </w:tc>
        <w:tc>
          <w:tcPr>
            <w:tcW w:w="1559" w:type="dxa"/>
            <w:tcBorders>
              <w:top w:val="nil"/>
              <w:left w:val="nil"/>
              <w:bottom w:val="single" w:sz="4" w:space="0" w:color="auto"/>
              <w:right w:val="single" w:sz="4" w:space="0" w:color="auto"/>
            </w:tcBorders>
            <w:noWrap/>
            <w:vAlign w:val="bottom"/>
            <w:hideMark/>
          </w:tcPr>
          <w:p w14:paraId="164FD007" w14:textId="77777777" w:rsidR="00B731C3" w:rsidRPr="00922054" w:rsidRDefault="00B731C3" w:rsidP="00A13E67">
            <w:pPr>
              <w:spacing w:after="0" w:line="240" w:lineRule="auto"/>
              <w:jc w:val="center"/>
              <w:rPr>
                <w:rFonts w:eastAsia="Times New Roman" w:cstheme="minorHAnsi"/>
                <w:color w:val="000000"/>
                <w:lang w:eastAsia="et-EE"/>
              </w:rPr>
            </w:pPr>
            <w:r w:rsidRPr="00922054">
              <w:rPr>
                <w:rFonts w:eastAsia="Times New Roman" w:cstheme="minorHAnsi"/>
                <w:color w:val="000000"/>
                <w:lang w:eastAsia="et-EE"/>
              </w:rPr>
              <w:t>20%</w:t>
            </w:r>
          </w:p>
        </w:tc>
        <w:tc>
          <w:tcPr>
            <w:tcW w:w="1134" w:type="dxa"/>
            <w:tcBorders>
              <w:top w:val="nil"/>
              <w:left w:val="nil"/>
              <w:bottom w:val="single" w:sz="4" w:space="0" w:color="auto"/>
              <w:right w:val="single" w:sz="4" w:space="0" w:color="auto"/>
            </w:tcBorders>
            <w:noWrap/>
            <w:vAlign w:val="bottom"/>
            <w:hideMark/>
          </w:tcPr>
          <w:p w14:paraId="0EEC51BF" w14:textId="77777777" w:rsidR="00B731C3" w:rsidRPr="00922054" w:rsidRDefault="00B731C3" w:rsidP="00A13E67">
            <w:pPr>
              <w:spacing w:after="0" w:line="240" w:lineRule="auto"/>
              <w:jc w:val="center"/>
              <w:rPr>
                <w:rFonts w:eastAsia="Times New Roman" w:cstheme="minorHAnsi"/>
                <w:color w:val="000000"/>
                <w:lang w:eastAsia="et-EE"/>
              </w:rPr>
            </w:pPr>
            <w:r w:rsidRPr="00922054">
              <w:rPr>
                <w:rFonts w:eastAsia="Times New Roman" w:cstheme="minorHAnsi"/>
                <w:color w:val="000000"/>
                <w:lang w:eastAsia="et-EE"/>
              </w:rPr>
              <w:t>64%</w:t>
            </w:r>
          </w:p>
        </w:tc>
        <w:tc>
          <w:tcPr>
            <w:tcW w:w="1559" w:type="dxa"/>
            <w:tcBorders>
              <w:top w:val="nil"/>
              <w:left w:val="nil"/>
              <w:bottom w:val="single" w:sz="4" w:space="0" w:color="auto"/>
              <w:right w:val="single" w:sz="4" w:space="0" w:color="auto"/>
            </w:tcBorders>
            <w:noWrap/>
            <w:vAlign w:val="bottom"/>
            <w:hideMark/>
          </w:tcPr>
          <w:p w14:paraId="1B08BE84" w14:textId="77777777" w:rsidR="00B731C3" w:rsidRPr="00922054" w:rsidRDefault="00B731C3" w:rsidP="00A13E67">
            <w:pPr>
              <w:spacing w:after="0" w:line="240" w:lineRule="auto"/>
              <w:jc w:val="center"/>
              <w:rPr>
                <w:rFonts w:eastAsia="Times New Roman" w:cstheme="minorHAnsi"/>
                <w:color w:val="000000"/>
                <w:lang w:eastAsia="et-EE"/>
              </w:rPr>
            </w:pPr>
            <w:r w:rsidRPr="00922054">
              <w:rPr>
                <w:rFonts w:eastAsia="Times New Roman" w:cstheme="minorHAnsi"/>
                <w:color w:val="000000"/>
                <w:lang w:eastAsia="et-EE"/>
              </w:rPr>
              <w:t>8%</w:t>
            </w:r>
          </w:p>
        </w:tc>
        <w:tc>
          <w:tcPr>
            <w:tcW w:w="1560" w:type="dxa"/>
            <w:tcBorders>
              <w:top w:val="nil"/>
              <w:left w:val="nil"/>
              <w:bottom w:val="single" w:sz="4" w:space="0" w:color="auto"/>
              <w:right w:val="single" w:sz="4" w:space="0" w:color="auto"/>
            </w:tcBorders>
            <w:noWrap/>
            <w:vAlign w:val="bottom"/>
            <w:hideMark/>
          </w:tcPr>
          <w:p w14:paraId="39819549" w14:textId="77777777" w:rsidR="00B731C3" w:rsidRPr="00922054" w:rsidRDefault="00B731C3" w:rsidP="00A13E67">
            <w:pPr>
              <w:spacing w:after="0" w:line="240" w:lineRule="auto"/>
              <w:jc w:val="center"/>
              <w:rPr>
                <w:rFonts w:eastAsia="Times New Roman" w:cstheme="minorHAnsi"/>
                <w:color w:val="000000"/>
                <w:lang w:eastAsia="et-EE"/>
              </w:rPr>
            </w:pPr>
            <w:r w:rsidRPr="00922054">
              <w:rPr>
                <w:rFonts w:eastAsia="Times New Roman" w:cstheme="minorHAnsi"/>
                <w:color w:val="000000"/>
                <w:lang w:eastAsia="et-EE"/>
              </w:rPr>
              <w:t>5%</w:t>
            </w:r>
          </w:p>
        </w:tc>
      </w:tr>
    </w:tbl>
    <w:p w14:paraId="7706FF44" w14:textId="77777777" w:rsidR="00B731C3" w:rsidRDefault="00B731C3" w:rsidP="00B731C3">
      <w:pPr>
        <w:spacing w:after="0" w:line="240" w:lineRule="auto"/>
        <w:jc w:val="both"/>
        <w:rPr>
          <w:rFonts w:ascii="Times New Roman" w:hAnsi="Times New Roman" w:cs="Times New Roman"/>
          <w:sz w:val="24"/>
          <w:szCs w:val="24"/>
        </w:rPr>
      </w:pPr>
    </w:p>
    <w:p w14:paraId="627BB87B" w14:textId="77777777" w:rsidR="00B731C3" w:rsidRPr="00DB4996" w:rsidRDefault="00B731C3" w:rsidP="00B731C3">
      <w:pPr>
        <w:spacing w:after="0" w:line="240" w:lineRule="auto"/>
        <w:jc w:val="both"/>
        <w:rPr>
          <w:rFonts w:eastAsia="Times New Roman" w:cstheme="minorHAnsi"/>
          <w:b/>
          <w:sz w:val="24"/>
          <w:szCs w:val="24"/>
        </w:rPr>
      </w:pPr>
      <w:r w:rsidRPr="00DB4996">
        <w:rPr>
          <w:rFonts w:eastAsia="Times New Roman" w:cstheme="minorHAnsi"/>
          <w:b/>
          <w:sz w:val="24"/>
          <w:szCs w:val="24"/>
        </w:rPr>
        <w:t>3. Eelnõu sisu ja võrdlev analüüs</w:t>
      </w:r>
    </w:p>
    <w:p w14:paraId="3F612C5D" w14:textId="77777777" w:rsidR="00B731C3" w:rsidRDefault="00B731C3" w:rsidP="00B731C3">
      <w:pPr>
        <w:spacing w:after="0" w:line="240" w:lineRule="auto"/>
        <w:jc w:val="both"/>
        <w:rPr>
          <w:rFonts w:eastAsia="Times New Roman" w:cstheme="minorHAnsi"/>
          <w:sz w:val="24"/>
          <w:szCs w:val="24"/>
        </w:rPr>
      </w:pPr>
    </w:p>
    <w:p w14:paraId="0DEFB1EC" w14:textId="77777777" w:rsidR="00B731C3" w:rsidRPr="00DB4996" w:rsidRDefault="00B731C3" w:rsidP="00B731C3">
      <w:pPr>
        <w:spacing w:after="0" w:line="240" w:lineRule="auto"/>
        <w:jc w:val="both"/>
        <w:rPr>
          <w:rFonts w:eastAsia="Times New Roman" w:cstheme="minorHAnsi"/>
          <w:sz w:val="24"/>
          <w:szCs w:val="24"/>
        </w:rPr>
      </w:pPr>
      <w:r w:rsidRPr="00DB4996">
        <w:rPr>
          <w:rFonts w:eastAsia="Times New Roman" w:cstheme="minorHAnsi"/>
          <w:sz w:val="24"/>
          <w:szCs w:val="24"/>
        </w:rPr>
        <w:t xml:space="preserve">Eelnõu koosneb </w:t>
      </w:r>
      <w:r>
        <w:rPr>
          <w:rFonts w:eastAsia="Times New Roman" w:cstheme="minorHAnsi"/>
          <w:sz w:val="24"/>
          <w:szCs w:val="24"/>
        </w:rPr>
        <w:t xml:space="preserve">neljast </w:t>
      </w:r>
      <w:r w:rsidRPr="00DB4996">
        <w:rPr>
          <w:rFonts w:eastAsia="Times New Roman" w:cstheme="minorHAnsi"/>
          <w:sz w:val="24"/>
          <w:szCs w:val="24"/>
        </w:rPr>
        <w:t xml:space="preserve">paragrahvist, § 1 käsitleb </w:t>
      </w:r>
      <w:r>
        <w:rPr>
          <w:rFonts w:eastAsia="Times New Roman" w:cstheme="minorHAnsi"/>
          <w:sz w:val="24"/>
          <w:szCs w:val="24"/>
        </w:rPr>
        <w:t xml:space="preserve">energiamajanduse korraldamise seaduse muutmist, § 2 elektrituru seaduse </w:t>
      </w:r>
      <w:r w:rsidRPr="00DB4996">
        <w:rPr>
          <w:rFonts w:eastAsia="Times New Roman" w:cstheme="minorHAnsi"/>
          <w:sz w:val="24"/>
          <w:szCs w:val="24"/>
        </w:rPr>
        <w:t>muutmist</w:t>
      </w:r>
      <w:r>
        <w:rPr>
          <w:rFonts w:eastAsia="Times New Roman" w:cstheme="minorHAnsi"/>
          <w:sz w:val="24"/>
          <w:szCs w:val="24"/>
        </w:rPr>
        <w:t>, § 3 maagaasiseaduse muutmist ning § 4 kaugkütte seaduse muutmist.</w:t>
      </w:r>
    </w:p>
    <w:p w14:paraId="3F895ECF" w14:textId="77777777" w:rsidR="00B731C3" w:rsidRDefault="00B731C3" w:rsidP="00B731C3">
      <w:pPr>
        <w:spacing w:after="0" w:line="240" w:lineRule="auto"/>
        <w:jc w:val="both"/>
        <w:rPr>
          <w:rFonts w:eastAsia="Times New Roman" w:cstheme="minorHAnsi"/>
          <w:b/>
          <w:bCs/>
          <w:sz w:val="24"/>
          <w:szCs w:val="24"/>
          <w:lang w:eastAsia="et-EE"/>
        </w:rPr>
      </w:pPr>
    </w:p>
    <w:p w14:paraId="14070E42" w14:textId="77777777" w:rsidR="00B731C3" w:rsidRDefault="00B731C3" w:rsidP="00B731C3">
      <w:pPr>
        <w:spacing w:after="0" w:line="240" w:lineRule="auto"/>
        <w:jc w:val="both"/>
        <w:rPr>
          <w:rFonts w:eastAsia="Times New Roman" w:cstheme="minorHAnsi"/>
          <w:b/>
          <w:bCs/>
          <w:sz w:val="24"/>
          <w:szCs w:val="24"/>
          <w:lang w:eastAsia="et-EE"/>
        </w:rPr>
      </w:pPr>
      <w:r>
        <w:rPr>
          <w:rFonts w:eastAsia="Times New Roman" w:cstheme="minorHAnsi"/>
          <w:b/>
          <w:bCs/>
          <w:sz w:val="24"/>
          <w:szCs w:val="24"/>
          <w:lang w:eastAsia="et-EE"/>
        </w:rPr>
        <w:t xml:space="preserve">Paragrahv 1 – energiamajanduse korralduse seaduse (EnKS) </w:t>
      </w:r>
    </w:p>
    <w:p w14:paraId="6DBAB265" w14:textId="77777777" w:rsidR="00B731C3" w:rsidRDefault="00B731C3" w:rsidP="00B731C3">
      <w:pPr>
        <w:spacing w:after="0" w:line="240" w:lineRule="auto"/>
        <w:jc w:val="both"/>
        <w:rPr>
          <w:rFonts w:eastAsia="Times New Roman" w:cstheme="minorHAnsi"/>
          <w:b/>
          <w:bCs/>
          <w:sz w:val="24"/>
          <w:szCs w:val="24"/>
          <w:lang w:eastAsia="et-EE"/>
        </w:rPr>
      </w:pPr>
    </w:p>
    <w:p w14:paraId="2E5AC447" w14:textId="77777777" w:rsidR="00B731C3" w:rsidRDefault="00B731C3" w:rsidP="00B731C3">
      <w:pPr>
        <w:spacing w:after="0" w:line="240" w:lineRule="auto"/>
        <w:jc w:val="both"/>
        <w:rPr>
          <w:rFonts w:ascii="Times New Roman" w:hAnsi="Times New Roman"/>
          <w:sz w:val="24"/>
          <w:szCs w:val="24"/>
        </w:rPr>
      </w:pPr>
      <w:r w:rsidRPr="7722650D">
        <w:rPr>
          <w:rFonts w:eastAsia="Times New Roman"/>
          <w:b/>
          <w:bCs/>
          <w:sz w:val="24"/>
          <w:szCs w:val="24"/>
          <w:lang w:eastAsia="et-EE"/>
        </w:rPr>
        <w:t xml:space="preserve">Punktiga 1 </w:t>
      </w:r>
      <w:r>
        <w:rPr>
          <w:rFonts w:ascii="Times New Roman" w:hAnsi="Times New Roman"/>
          <w:sz w:val="24"/>
          <w:szCs w:val="24"/>
        </w:rPr>
        <w:t xml:space="preserve">muudetakse EnKSi § 2 punkti 1 „avaliku sektori asutus“, </w:t>
      </w:r>
      <w:r w:rsidRPr="7722650D">
        <w:rPr>
          <w:rFonts w:eastAsia="Times New Roman"/>
          <w:sz w:val="24"/>
          <w:szCs w:val="24"/>
          <w:lang w:eastAsia="et-EE"/>
        </w:rPr>
        <w:t xml:space="preserve">millega võetakse üle direktiivi </w:t>
      </w:r>
      <w:r w:rsidRPr="00FF125A">
        <w:rPr>
          <w:rFonts w:eastAsia="Times New Roman"/>
          <w:sz w:val="24"/>
          <w:szCs w:val="24"/>
          <w:lang w:eastAsia="et-EE"/>
        </w:rPr>
        <w:t>artikli 2 punkt 12.</w:t>
      </w:r>
      <w:r w:rsidRPr="00FF125A">
        <w:rPr>
          <w:rFonts w:ascii="Times New Roman" w:hAnsi="Times New Roman"/>
          <w:sz w:val="24"/>
          <w:szCs w:val="24"/>
        </w:rPr>
        <w:t xml:space="preserve"> Uus energiatõhususe</w:t>
      </w:r>
      <w:r>
        <w:rPr>
          <w:rFonts w:ascii="Times New Roman" w:hAnsi="Times New Roman"/>
          <w:sz w:val="24"/>
          <w:szCs w:val="24"/>
        </w:rPr>
        <w:t xml:space="preserve"> direktiiv sätestab, et avaliku sektori asutused </w:t>
      </w:r>
      <w:r>
        <w:rPr>
          <w:rFonts w:ascii="Times New Roman" w:hAnsi="Times New Roman"/>
          <w:sz w:val="24"/>
          <w:szCs w:val="24"/>
        </w:rPr>
        <w:lastRenderedPageBreak/>
        <w:t xml:space="preserve">on </w:t>
      </w:r>
      <w:r w:rsidRPr="00210DB4">
        <w:rPr>
          <w:rFonts w:ascii="Times New Roman" w:hAnsi="Times New Roman"/>
          <w:sz w:val="24"/>
          <w:szCs w:val="24"/>
        </w:rPr>
        <w:t>riiklikud, piirkondliku</w:t>
      </w:r>
      <w:r w:rsidRPr="34CD642B">
        <w:rPr>
          <w:rFonts w:ascii="Times New Roman" w:hAnsi="Times New Roman"/>
          <w:sz w:val="24"/>
          <w:szCs w:val="24"/>
        </w:rPr>
        <w:t>d</w:t>
      </w:r>
      <w:r w:rsidRPr="00210DB4">
        <w:rPr>
          <w:rFonts w:ascii="Times New Roman" w:hAnsi="Times New Roman"/>
          <w:sz w:val="24"/>
          <w:szCs w:val="24"/>
        </w:rPr>
        <w:t xml:space="preserve"> või kohalikud asutused ning selliste asutuste rahastatavad ja hallatavad üksused, mis ei tegele tööstuse ega äritegevusega</w:t>
      </w:r>
      <w:r>
        <w:rPr>
          <w:rFonts w:ascii="Times New Roman" w:hAnsi="Times New Roman"/>
          <w:sz w:val="24"/>
          <w:szCs w:val="24"/>
        </w:rPr>
        <w:t>. Eesti õigusruumis vastab sellele mõistele hästi riigieelarve seaduse</w:t>
      </w:r>
      <w:r>
        <w:rPr>
          <w:rStyle w:val="Allmrkuseviide"/>
          <w:rFonts w:ascii="Times New Roman" w:hAnsi="Times New Roman"/>
          <w:sz w:val="24"/>
          <w:szCs w:val="24"/>
        </w:rPr>
        <w:footnoteReference w:id="9"/>
      </w:r>
      <w:r>
        <w:rPr>
          <w:rFonts w:ascii="Times New Roman" w:hAnsi="Times New Roman"/>
          <w:sz w:val="24"/>
          <w:szCs w:val="24"/>
        </w:rPr>
        <w:t xml:space="preserve"> § 2, mis sätestab valitsussektori </w:t>
      </w:r>
      <w:r w:rsidRPr="00AE0687">
        <w:rPr>
          <w:rFonts w:ascii="Times New Roman" w:hAnsi="Times New Roman"/>
          <w:sz w:val="24"/>
          <w:szCs w:val="24"/>
        </w:rPr>
        <w:t>ja keskvalitsuse allsektor</w:t>
      </w:r>
      <w:r>
        <w:rPr>
          <w:rFonts w:ascii="Times New Roman" w:hAnsi="Times New Roman"/>
          <w:sz w:val="24"/>
          <w:szCs w:val="24"/>
        </w:rPr>
        <w:t xml:space="preserve">i mõisted, mis omakorda sobivad hästi direktiivi mõistega. Samuti sätestab riigieelarve seadus, et valitsussektori </w:t>
      </w:r>
      <w:r w:rsidRPr="004C73D6">
        <w:rPr>
          <w:rFonts w:ascii="Times New Roman" w:hAnsi="Times New Roman"/>
          <w:sz w:val="24"/>
          <w:szCs w:val="24"/>
        </w:rPr>
        <w:t>üksuste nimekirja avaldab oma kodulehel ja teavitab üksuse kuulumisest valitsussektorisse Statistikaamet</w:t>
      </w:r>
      <w:r>
        <w:rPr>
          <w:rStyle w:val="Allmrkuseviide"/>
          <w:rFonts w:ascii="Times New Roman" w:hAnsi="Times New Roman"/>
          <w:sz w:val="24"/>
          <w:szCs w:val="24"/>
        </w:rPr>
        <w:footnoteReference w:id="10"/>
      </w:r>
      <w:r>
        <w:rPr>
          <w:rFonts w:ascii="Times New Roman" w:hAnsi="Times New Roman"/>
          <w:sz w:val="24"/>
          <w:szCs w:val="24"/>
        </w:rPr>
        <w:t>.</w:t>
      </w:r>
    </w:p>
    <w:p w14:paraId="6B28ADBC" w14:textId="77777777" w:rsidR="00B731C3" w:rsidRDefault="00B731C3" w:rsidP="00B731C3">
      <w:pPr>
        <w:spacing w:after="0" w:line="240" w:lineRule="auto"/>
        <w:jc w:val="both"/>
        <w:rPr>
          <w:rFonts w:ascii="Times New Roman" w:hAnsi="Times New Roman"/>
          <w:sz w:val="24"/>
          <w:szCs w:val="24"/>
        </w:rPr>
      </w:pPr>
      <w:r>
        <w:rPr>
          <w:rFonts w:ascii="Times New Roman" w:hAnsi="Times New Roman"/>
          <w:sz w:val="24"/>
          <w:szCs w:val="24"/>
        </w:rPr>
        <w:t xml:space="preserve">Statistikaamet peab majandusüksuste nimekirja, mida </w:t>
      </w:r>
      <w:r w:rsidRPr="0068170C">
        <w:rPr>
          <w:rFonts w:ascii="Times New Roman" w:hAnsi="Times New Roman"/>
          <w:sz w:val="24"/>
          <w:szCs w:val="24"/>
        </w:rPr>
        <w:t>avaldatakse üks kord aastas (detsembris) ja se</w:t>
      </w:r>
      <w:r>
        <w:rPr>
          <w:rFonts w:ascii="Times New Roman" w:hAnsi="Times New Roman"/>
          <w:sz w:val="24"/>
          <w:szCs w:val="24"/>
        </w:rPr>
        <w:t>lles on</w:t>
      </w:r>
      <w:r w:rsidRPr="0068170C">
        <w:rPr>
          <w:rFonts w:ascii="Times New Roman" w:hAnsi="Times New Roman"/>
          <w:sz w:val="24"/>
          <w:szCs w:val="24"/>
        </w:rPr>
        <w:t xml:space="preserve"> majandusüksus</w:t>
      </w:r>
      <w:r>
        <w:rPr>
          <w:rFonts w:ascii="Times New Roman" w:hAnsi="Times New Roman"/>
          <w:sz w:val="24"/>
          <w:szCs w:val="24"/>
        </w:rPr>
        <w:t>ed</w:t>
      </w:r>
      <w:r w:rsidRPr="0068170C">
        <w:rPr>
          <w:rFonts w:ascii="Times New Roman" w:hAnsi="Times New Roman"/>
          <w:sz w:val="24"/>
          <w:szCs w:val="24"/>
        </w:rPr>
        <w:t>, mis on olnud majanduslikult aktiivsed kas või ühel kolmest viimasest aastast</w:t>
      </w:r>
      <w:r>
        <w:rPr>
          <w:rFonts w:ascii="Times New Roman" w:hAnsi="Times New Roman"/>
          <w:sz w:val="24"/>
          <w:szCs w:val="24"/>
        </w:rPr>
        <w:t xml:space="preserve">. </w:t>
      </w:r>
      <w:r w:rsidRPr="00D3013E">
        <w:rPr>
          <w:rFonts w:ascii="Times New Roman" w:hAnsi="Times New Roman"/>
          <w:sz w:val="24"/>
          <w:szCs w:val="24"/>
        </w:rPr>
        <w:t>Majandusüksuste tegevusala ja sektorisse kuuluvuse määramisel lähtutakse ESA2010 metoodikast</w:t>
      </w:r>
      <w:r>
        <w:rPr>
          <w:rStyle w:val="Allmrkuseviide"/>
          <w:rFonts w:ascii="Times New Roman" w:hAnsi="Times New Roman"/>
          <w:sz w:val="24"/>
          <w:szCs w:val="24"/>
        </w:rPr>
        <w:footnoteReference w:id="11"/>
      </w:r>
      <w:r w:rsidRPr="00D3013E">
        <w:rPr>
          <w:rFonts w:ascii="Times New Roman" w:hAnsi="Times New Roman"/>
          <w:sz w:val="24"/>
          <w:szCs w:val="24"/>
        </w:rPr>
        <w:t>.</w:t>
      </w:r>
      <w:r>
        <w:rPr>
          <w:rFonts w:ascii="Times New Roman" w:hAnsi="Times New Roman"/>
          <w:sz w:val="24"/>
          <w:szCs w:val="24"/>
        </w:rPr>
        <w:t xml:space="preserve"> Metoodika on kasutusel alates aastast 2014, metoodikat uuendati aastatel 2023 ja 2024 ning metoodika uus ülevaatus on 2029. aastal ning rakendub tõenäoliselt 2030. Ehk see metoodika sobitub hästi energiatõhususe direktiivi peamise rakendusperioodiga 2025 IV kvartal kuni 2030 lõpp.</w:t>
      </w:r>
    </w:p>
    <w:p w14:paraId="129DEC40" w14:textId="77777777" w:rsidR="00B731C3" w:rsidRDefault="00B731C3" w:rsidP="00B731C3">
      <w:pPr>
        <w:spacing w:after="0" w:line="240" w:lineRule="auto"/>
        <w:jc w:val="both"/>
        <w:rPr>
          <w:rFonts w:ascii="Times New Roman" w:hAnsi="Times New Roman"/>
          <w:sz w:val="24"/>
          <w:szCs w:val="24"/>
        </w:rPr>
      </w:pPr>
      <w:r w:rsidRPr="00800A74">
        <w:rPr>
          <w:rFonts w:ascii="Times New Roman" w:hAnsi="Times New Roman"/>
          <w:sz w:val="24"/>
          <w:szCs w:val="24"/>
        </w:rPr>
        <w:t>Valitsemissektori üksuste välja sel</w:t>
      </w:r>
      <w:r>
        <w:rPr>
          <w:rFonts w:ascii="Times New Roman" w:hAnsi="Times New Roman"/>
          <w:sz w:val="24"/>
          <w:szCs w:val="24"/>
        </w:rPr>
        <w:t>gitamise</w:t>
      </w:r>
      <w:r w:rsidRPr="00800A74">
        <w:rPr>
          <w:rFonts w:ascii="Times New Roman" w:hAnsi="Times New Roman"/>
          <w:sz w:val="24"/>
          <w:szCs w:val="24"/>
        </w:rPr>
        <w:t xml:space="preserve"> aluseks on ESA (European System of Accounts) </w:t>
      </w:r>
      <w:r>
        <w:rPr>
          <w:rFonts w:ascii="Times New Roman" w:hAnsi="Times New Roman"/>
          <w:sz w:val="24"/>
          <w:szCs w:val="24"/>
        </w:rPr>
        <w:t>i</w:t>
      </w:r>
      <w:r w:rsidRPr="00800A74">
        <w:rPr>
          <w:rFonts w:ascii="Times New Roman" w:hAnsi="Times New Roman"/>
          <w:sz w:val="24"/>
          <w:szCs w:val="24"/>
        </w:rPr>
        <w:t xml:space="preserve">nstitutsionaalsete sektorite (S) klassifikaator 2010. Valitsemissektor on S.13, </w:t>
      </w:r>
      <w:r>
        <w:rPr>
          <w:rFonts w:ascii="Times New Roman" w:hAnsi="Times New Roman"/>
          <w:sz w:val="24"/>
          <w:szCs w:val="24"/>
        </w:rPr>
        <w:t>nimekirjas on järgmised üksused:</w:t>
      </w:r>
    </w:p>
    <w:p w14:paraId="4F7D1CE7" w14:textId="77777777" w:rsidR="00B731C3" w:rsidRDefault="00B731C3" w:rsidP="00B731C3">
      <w:pPr>
        <w:spacing w:after="0" w:line="240" w:lineRule="auto"/>
        <w:jc w:val="both"/>
        <w:rPr>
          <w:rFonts w:ascii="Times New Roman" w:hAnsi="Times New Roman"/>
          <w:sz w:val="24"/>
          <w:szCs w:val="24"/>
        </w:rPr>
      </w:pPr>
    </w:p>
    <w:p w14:paraId="0DCAB8F7" w14:textId="77777777" w:rsidR="00B731C3" w:rsidRDefault="00B731C3" w:rsidP="00B731C3">
      <w:pPr>
        <w:spacing w:after="0" w:line="240" w:lineRule="auto"/>
        <w:jc w:val="both"/>
        <w:rPr>
          <w:rFonts w:ascii="Times New Roman" w:hAnsi="Times New Roman"/>
          <w:sz w:val="24"/>
          <w:szCs w:val="24"/>
        </w:rPr>
      </w:pPr>
      <w:r>
        <w:rPr>
          <w:noProof/>
        </w:rPr>
        <w:drawing>
          <wp:inline distT="0" distB="0" distL="0" distR="0" wp14:anchorId="5E7D81B2" wp14:editId="40762A23">
            <wp:extent cx="3713480" cy="1399540"/>
            <wp:effectExtent l="0" t="0" r="1270" b="10160"/>
            <wp:docPr id="1002631285" name="Pilt 1" descr="Pilt, millel on kujutatud tekst, kuvatõmmis, Font&#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31285" name="Pilt 1" descr="Pilt, millel on kujutatud tekst, kuvatõmmis, Font&#10;&#10;Tehisintellekti genereeritud sisu võib olla ebatõene."/>
                    <pic:cNvPicPr/>
                  </pic:nvPicPr>
                  <pic:blipFill>
                    <a:blip r:embed="rId14">
                      <a:extLst>
                        <a:ext uri="{28A0092B-C50C-407E-A947-70E740481C1C}">
                          <a14:useLocalDpi xmlns:a14="http://schemas.microsoft.com/office/drawing/2010/main" val="0"/>
                        </a:ext>
                      </a:extLst>
                    </a:blip>
                    <a:stretch>
                      <a:fillRect/>
                    </a:stretch>
                  </pic:blipFill>
                  <pic:spPr>
                    <a:xfrm>
                      <a:off x="0" y="0"/>
                      <a:ext cx="3713480" cy="1399540"/>
                    </a:xfrm>
                    <a:prstGeom prst="rect">
                      <a:avLst/>
                    </a:prstGeom>
                  </pic:spPr>
                </pic:pic>
              </a:graphicData>
            </a:graphic>
          </wp:inline>
        </w:drawing>
      </w:r>
    </w:p>
    <w:p w14:paraId="3526968D" w14:textId="77777777" w:rsidR="00B731C3" w:rsidRDefault="00B731C3" w:rsidP="00B731C3">
      <w:pPr>
        <w:spacing w:after="0" w:line="240" w:lineRule="auto"/>
        <w:jc w:val="both"/>
        <w:rPr>
          <w:rFonts w:ascii="Times New Roman" w:hAnsi="Times New Roman"/>
          <w:sz w:val="24"/>
          <w:szCs w:val="24"/>
        </w:rPr>
      </w:pPr>
    </w:p>
    <w:p w14:paraId="246A6941" w14:textId="77777777" w:rsidR="00B731C3" w:rsidRPr="0033260F" w:rsidRDefault="00B731C3" w:rsidP="00B731C3">
      <w:pPr>
        <w:spacing w:after="0" w:line="240" w:lineRule="auto"/>
        <w:jc w:val="both"/>
        <w:rPr>
          <w:rFonts w:ascii="Times New Roman" w:hAnsi="Times New Roman"/>
          <w:sz w:val="24"/>
          <w:szCs w:val="24"/>
        </w:rPr>
      </w:pPr>
      <w:r>
        <w:rPr>
          <w:rFonts w:ascii="Times New Roman" w:hAnsi="Times New Roman"/>
          <w:sz w:val="24"/>
          <w:szCs w:val="24"/>
        </w:rPr>
        <w:t>Joonis 1. Statistikaameti valitsussektori alamliikide jaotus.</w:t>
      </w:r>
    </w:p>
    <w:p w14:paraId="2154A7C6" w14:textId="77777777" w:rsidR="00B731C3" w:rsidRDefault="00B731C3" w:rsidP="00B731C3">
      <w:pPr>
        <w:pStyle w:val="muudetavtekst"/>
        <w:rPr>
          <w:rFonts w:asciiTheme="minorHAnsi" w:hAnsiTheme="minorHAnsi" w:cstheme="minorHAnsi"/>
          <w:b/>
          <w:bCs/>
        </w:rPr>
      </w:pPr>
    </w:p>
    <w:p w14:paraId="47B52382" w14:textId="77777777" w:rsidR="00B731C3" w:rsidRDefault="00B731C3" w:rsidP="00B731C3">
      <w:pPr>
        <w:pStyle w:val="muudetavtekst"/>
        <w:rPr>
          <w:rFonts w:asciiTheme="minorHAnsi" w:hAnsiTheme="minorHAnsi" w:cstheme="minorBidi"/>
        </w:rPr>
      </w:pPr>
      <w:r w:rsidRPr="2E71C8AD">
        <w:rPr>
          <w:rFonts w:asciiTheme="minorHAnsi" w:hAnsiTheme="minorHAnsi" w:cstheme="minorBidi"/>
        </w:rPr>
        <w:t xml:space="preserve">Avaliku sektori asutuste määramine on oluline, sest </w:t>
      </w:r>
      <w:r>
        <w:rPr>
          <w:rFonts w:asciiTheme="minorHAnsi" w:hAnsiTheme="minorHAnsi" w:cstheme="minorBidi"/>
        </w:rPr>
        <w:t xml:space="preserve">see </w:t>
      </w:r>
      <w:r w:rsidRPr="7302B8DF">
        <w:rPr>
          <w:rFonts w:asciiTheme="minorHAnsi" w:hAnsiTheme="minorHAnsi" w:cstheme="minorBidi"/>
        </w:rPr>
        <w:t xml:space="preserve">määrab </w:t>
      </w:r>
      <w:r w:rsidRPr="2E71C8AD">
        <w:rPr>
          <w:rFonts w:asciiTheme="minorHAnsi" w:hAnsiTheme="minorHAnsi" w:cstheme="minorBidi"/>
        </w:rPr>
        <w:t>energiasäästu üldi</w:t>
      </w:r>
      <w:r>
        <w:rPr>
          <w:rFonts w:asciiTheme="minorHAnsi" w:hAnsiTheme="minorHAnsi" w:cstheme="minorBidi"/>
        </w:rPr>
        <w:t>s</w:t>
      </w:r>
      <w:r w:rsidRPr="2E71C8AD">
        <w:rPr>
          <w:rFonts w:asciiTheme="minorHAnsi" w:hAnsiTheme="minorHAnsi" w:cstheme="minorBidi"/>
        </w:rPr>
        <w:t>e</w:t>
      </w:r>
      <w:r w:rsidRPr="0B9D0D2F">
        <w:rPr>
          <w:rFonts w:asciiTheme="minorHAnsi" w:hAnsiTheme="minorHAnsi" w:cstheme="minorBidi"/>
        </w:rPr>
        <w:t xml:space="preserve"> kohus</w:t>
      </w:r>
      <w:r>
        <w:rPr>
          <w:rFonts w:asciiTheme="minorHAnsi" w:hAnsiTheme="minorHAnsi" w:cstheme="minorBidi"/>
        </w:rPr>
        <w:t>t</w:t>
      </w:r>
      <w:r w:rsidRPr="0B9D0D2F">
        <w:rPr>
          <w:rFonts w:asciiTheme="minorHAnsi" w:hAnsiTheme="minorHAnsi" w:cstheme="minorBidi"/>
        </w:rPr>
        <w:t xml:space="preserve">use </w:t>
      </w:r>
      <w:r w:rsidRPr="2FF4B592">
        <w:rPr>
          <w:rFonts w:asciiTheme="minorHAnsi" w:hAnsiTheme="minorHAnsi" w:cstheme="minorBidi"/>
        </w:rPr>
        <w:t>ulatuse.</w:t>
      </w:r>
      <w:r w:rsidRPr="00F5E6C7">
        <w:rPr>
          <w:rFonts w:asciiTheme="minorHAnsi" w:hAnsiTheme="minorHAnsi" w:cstheme="minorBidi"/>
        </w:rPr>
        <w:t xml:space="preserve"> Näiteks rakendub</w:t>
      </w:r>
      <w:r w:rsidRPr="2E71C8AD">
        <w:rPr>
          <w:rFonts w:asciiTheme="minorHAnsi" w:hAnsiTheme="minorHAnsi" w:cstheme="minorBidi"/>
        </w:rPr>
        <w:t xml:space="preserve"> avaliku</w:t>
      </w:r>
      <w:r>
        <w:rPr>
          <w:rFonts w:asciiTheme="minorHAnsi" w:hAnsiTheme="minorHAnsi" w:cstheme="minorBidi"/>
        </w:rPr>
        <w:t xml:space="preserve"> sektori</w:t>
      </w:r>
      <w:r w:rsidRPr="2E71C8AD">
        <w:rPr>
          <w:rFonts w:asciiTheme="minorHAnsi" w:hAnsiTheme="minorHAnsi" w:cstheme="minorBidi"/>
        </w:rPr>
        <w:t xml:space="preserve"> asutustele kuuluvate hoonete rekonstrueerimise nõue </w:t>
      </w:r>
      <w:r w:rsidRPr="4C3B09A0">
        <w:rPr>
          <w:rFonts w:asciiTheme="minorHAnsi" w:hAnsiTheme="minorHAnsi" w:cstheme="minorBidi"/>
        </w:rPr>
        <w:t>ka</w:t>
      </w:r>
      <w:r w:rsidRPr="2E71C8AD">
        <w:rPr>
          <w:rFonts w:asciiTheme="minorHAnsi" w:hAnsiTheme="minorHAnsi" w:cstheme="minorBidi"/>
        </w:rPr>
        <w:t xml:space="preserve"> kohalike</w:t>
      </w:r>
      <w:r>
        <w:rPr>
          <w:rFonts w:asciiTheme="minorHAnsi" w:hAnsiTheme="minorHAnsi" w:cstheme="minorBidi"/>
        </w:rPr>
        <w:t>le</w:t>
      </w:r>
      <w:r w:rsidRPr="2E71C8AD">
        <w:rPr>
          <w:rFonts w:asciiTheme="minorHAnsi" w:hAnsiTheme="minorHAnsi" w:cstheme="minorBidi"/>
        </w:rPr>
        <w:t xml:space="preserve"> omavalitustele, haiglatele ja ülikoolidele.</w:t>
      </w:r>
    </w:p>
    <w:p w14:paraId="0B1FFE22" w14:textId="77777777" w:rsidR="00B731C3" w:rsidRDefault="00B731C3" w:rsidP="00B731C3">
      <w:pPr>
        <w:pStyle w:val="muudetavtekst"/>
        <w:rPr>
          <w:rFonts w:asciiTheme="minorHAnsi" w:hAnsiTheme="minorHAnsi" w:cstheme="minorHAnsi"/>
        </w:rPr>
      </w:pPr>
      <w:r>
        <w:rPr>
          <w:rFonts w:asciiTheme="minorHAnsi" w:hAnsiTheme="minorHAnsi" w:cstheme="minorHAnsi"/>
        </w:rPr>
        <w:t>Statistikaameti nimekirja järgi on avaliku sektori asutusi 01.12.2024 seisuga 2239 (tabel 4), täielik nimekiri on ka Rahandusministeeriumi kodulehelt</w:t>
      </w:r>
      <w:r>
        <w:rPr>
          <w:rStyle w:val="Allmrkuseviide"/>
          <w:rFonts w:asciiTheme="minorHAnsi" w:hAnsiTheme="minorHAnsi" w:cstheme="minorHAnsi"/>
        </w:rPr>
        <w:footnoteReference w:id="12"/>
      </w:r>
      <w:r>
        <w:rPr>
          <w:rFonts w:asciiTheme="minorHAnsi" w:hAnsiTheme="minorHAnsi" w:cstheme="minorHAnsi"/>
        </w:rPr>
        <w:t>.</w:t>
      </w:r>
    </w:p>
    <w:p w14:paraId="656511E6" w14:textId="77777777" w:rsidR="00B731C3" w:rsidRDefault="00B731C3" w:rsidP="00B731C3">
      <w:pPr>
        <w:pStyle w:val="muudetavtekst"/>
        <w:rPr>
          <w:rFonts w:asciiTheme="minorHAnsi" w:hAnsiTheme="minorHAnsi" w:cstheme="minorHAnsi"/>
        </w:rPr>
      </w:pPr>
    </w:p>
    <w:p w14:paraId="716CA38E" w14:textId="77777777" w:rsidR="00B731C3" w:rsidRDefault="00B731C3" w:rsidP="00B731C3">
      <w:pPr>
        <w:pStyle w:val="muudetavtekst"/>
        <w:rPr>
          <w:rFonts w:asciiTheme="minorHAnsi" w:hAnsiTheme="minorHAnsi" w:cstheme="minorHAnsi"/>
        </w:rPr>
      </w:pPr>
      <w:r>
        <w:rPr>
          <w:rFonts w:asciiTheme="minorHAnsi" w:hAnsiTheme="minorHAnsi" w:cstheme="minorHAnsi"/>
        </w:rPr>
        <w:t>Tabel 4. Eesti avaliku sektori asutuste arv klassifikaatori järgi</w:t>
      </w:r>
    </w:p>
    <w:tbl>
      <w:tblPr>
        <w:tblStyle w:val="Kontuurtabel"/>
        <w:tblW w:w="0" w:type="auto"/>
        <w:tblLook w:val="04A0" w:firstRow="1" w:lastRow="0" w:firstColumn="1" w:lastColumn="0" w:noHBand="0" w:noVBand="1"/>
      </w:tblPr>
      <w:tblGrid>
        <w:gridCol w:w="1563"/>
        <w:gridCol w:w="5662"/>
        <w:gridCol w:w="1837"/>
      </w:tblGrid>
      <w:tr w:rsidR="00B731C3" w14:paraId="0C131CE8" w14:textId="77777777" w:rsidTr="00A13E67">
        <w:tc>
          <w:tcPr>
            <w:tcW w:w="1563" w:type="dxa"/>
          </w:tcPr>
          <w:p w14:paraId="6FCB7A37" w14:textId="77777777" w:rsidR="00B731C3" w:rsidRDefault="00B731C3" w:rsidP="00A13E67">
            <w:pPr>
              <w:pStyle w:val="muudetavtekst"/>
              <w:rPr>
                <w:rFonts w:asciiTheme="minorHAnsi" w:hAnsiTheme="minorHAnsi" w:cstheme="minorHAnsi"/>
              </w:rPr>
            </w:pPr>
            <w:r>
              <w:rPr>
                <w:rFonts w:asciiTheme="minorHAnsi" w:hAnsiTheme="minorHAnsi" w:cstheme="minorHAnsi"/>
              </w:rPr>
              <w:t xml:space="preserve">Klassifikaator </w:t>
            </w:r>
          </w:p>
        </w:tc>
        <w:tc>
          <w:tcPr>
            <w:tcW w:w="5662" w:type="dxa"/>
          </w:tcPr>
          <w:p w14:paraId="6C1C8517" w14:textId="77777777" w:rsidR="00B731C3" w:rsidRDefault="00B731C3" w:rsidP="00A13E67">
            <w:pPr>
              <w:pStyle w:val="muudetavtekst"/>
              <w:rPr>
                <w:rFonts w:asciiTheme="minorHAnsi" w:hAnsiTheme="minorHAnsi" w:cstheme="minorBidi"/>
              </w:rPr>
            </w:pPr>
            <w:r w:rsidRPr="37ABF32C">
              <w:rPr>
                <w:rFonts w:asciiTheme="minorHAnsi" w:hAnsiTheme="minorHAnsi" w:cstheme="minorBidi"/>
              </w:rPr>
              <w:t>Nimetus</w:t>
            </w:r>
          </w:p>
        </w:tc>
        <w:tc>
          <w:tcPr>
            <w:tcW w:w="1837" w:type="dxa"/>
          </w:tcPr>
          <w:p w14:paraId="1D2ABFF7" w14:textId="77777777" w:rsidR="00B731C3" w:rsidRDefault="00B731C3" w:rsidP="00A13E67">
            <w:pPr>
              <w:pStyle w:val="muudetavtekst"/>
              <w:rPr>
                <w:rFonts w:asciiTheme="minorHAnsi" w:hAnsiTheme="minorHAnsi" w:cstheme="minorHAnsi"/>
              </w:rPr>
            </w:pPr>
            <w:r>
              <w:rPr>
                <w:rFonts w:asciiTheme="minorHAnsi" w:hAnsiTheme="minorHAnsi" w:cstheme="minorHAnsi"/>
              </w:rPr>
              <w:t xml:space="preserve">Asutusi kokku </w:t>
            </w:r>
          </w:p>
        </w:tc>
      </w:tr>
      <w:tr w:rsidR="00B731C3" w14:paraId="73365040" w14:textId="77777777" w:rsidTr="00A13E67">
        <w:tc>
          <w:tcPr>
            <w:tcW w:w="1563" w:type="dxa"/>
          </w:tcPr>
          <w:p w14:paraId="5448B045" w14:textId="77777777" w:rsidR="00B731C3" w:rsidRDefault="00B731C3" w:rsidP="00A13E67">
            <w:pPr>
              <w:pStyle w:val="muudetavtekst"/>
              <w:rPr>
                <w:rFonts w:asciiTheme="minorHAnsi" w:hAnsiTheme="minorHAnsi" w:cstheme="minorHAnsi"/>
              </w:rPr>
            </w:pPr>
            <w:r>
              <w:rPr>
                <w:rFonts w:asciiTheme="minorHAnsi" w:hAnsiTheme="minorHAnsi" w:cstheme="minorHAnsi"/>
              </w:rPr>
              <w:t>S1311</w:t>
            </w:r>
          </w:p>
        </w:tc>
        <w:tc>
          <w:tcPr>
            <w:tcW w:w="5662" w:type="dxa"/>
          </w:tcPr>
          <w:p w14:paraId="039F258E" w14:textId="77777777" w:rsidR="00B731C3" w:rsidRDefault="00B731C3" w:rsidP="00A13E67">
            <w:pPr>
              <w:pStyle w:val="muudetavtekst"/>
              <w:jc w:val="left"/>
              <w:rPr>
                <w:rFonts w:asciiTheme="minorHAnsi" w:hAnsiTheme="minorHAnsi" w:cstheme="minorHAnsi"/>
              </w:rPr>
            </w:pPr>
            <w:r>
              <w:rPr>
                <w:rFonts w:asciiTheme="minorHAnsi" w:hAnsiTheme="minorHAnsi" w:cstheme="minorHAnsi"/>
              </w:rPr>
              <w:t xml:space="preserve">Keskvalitsus (v.a riiklikud sotsiaalkindlustusfondid) </w:t>
            </w:r>
          </w:p>
        </w:tc>
        <w:tc>
          <w:tcPr>
            <w:tcW w:w="1837" w:type="dxa"/>
          </w:tcPr>
          <w:p w14:paraId="0B706DF0" w14:textId="77777777" w:rsidR="00B731C3" w:rsidRDefault="00B731C3" w:rsidP="00A13E67">
            <w:pPr>
              <w:pStyle w:val="muudetavtekst"/>
              <w:jc w:val="center"/>
              <w:rPr>
                <w:rFonts w:asciiTheme="minorHAnsi" w:hAnsiTheme="minorHAnsi" w:cstheme="minorHAnsi"/>
              </w:rPr>
            </w:pPr>
            <w:r>
              <w:rPr>
                <w:rFonts w:asciiTheme="minorHAnsi" w:hAnsiTheme="minorHAnsi" w:cstheme="minorHAnsi"/>
              </w:rPr>
              <w:t>296</w:t>
            </w:r>
          </w:p>
        </w:tc>
      </w:tr>
      <w:tr w:rsidR="00B731C3" w14:paraId="75351C42" w14:textId="77777777" w:rsidTr="00A13E67">
        <w:tc>
          <w:tcPr>
            <w:tcW w:w="1563" w:type="dxa"/>
          </w:tcPr>
          <w:p w14:paraId="05B18CB5" w14:textId="77777777" w:rsidR="00B731C3" w:rsidRDefault="00B731C3" w:rsidP="00A13E67">
            <w:pPr>
              <w:pStyle w:val="muudetavtekst"/>
              <w:rPr>
                <w:rFonts w:asciiTheme="minorHAnsi" w:hAnsiTheme="minorHAnsi" w:cstheme="minorHAnsi"/>
              </w:rPr>
            </w:pPr>
            <w:r>
              <w:rPr>
                <w:rFonts w:asciiTheme="minorHAnsi" w:hAnsiTheme="minorHAnsi" w:cstheme="minorHAnsi"/>
              </w:rPr>
              <w:t>S1313</w:t>
            </w:r>
          </w:p>
        </w:tc>
        <w:tc>
          <w:tcPr>
            <w:tcW w:w="5662" w:type="dxa"/>
          </w:tcPr>
          <w:p w14:paraId="076FAD23" w14:textId="77777777" w:rsidR="00B731C3" w:rsidRDefault="00B731C3" w:rsidP="00A13E67">
            <w:pPr>
              <w:pStyle w:val="muudetavtekst"/>
              <w:jc w:val="left"/>
              <w:rPr>
                <w:rFonts w:asciiTheme="minorHAnsi" w:hAnsiTheme="minorHAnsi" w:cstheme="minorHAnsi"/>
              </w:rPr>
            </w:pPr>
            <w:r>
              <w:rPr>
                <w:rFonts w:asciiTheme="minorHAnsi" w:hAnsiTheme="minorHAnsi" w:cstheme="minorHAnsi"/>
              </w:rPr>
              <w:t xml:space="preserve">Kohalik omavalitsusus (v.a riiklikud sotsiaalkindlustusfondid) </w:t>
            </w:r>
          </w:p>
        </w:tc>
        <w:tc>
          <w:tcPr>
            <w:tcW w:w="1837" w:type="dxa"/>
          </w:tcPr>
          <w:p w14:paraId="6251BFBA" w14:textId="77777777" w:rsidR="00B731C3" w:rsidRDefault="00B731C3" w:rsidP="00A13E67">
            <w:pPr>
              <w:pStyle w:val="muudetavtekst"/>
              <w:jc w:val="center"/>
              <w:rPr>
                <w:rFonts w:asciiTheme="minorHAnsi" w:hAnsiTheme="minorHAnsi" w:cstheme="minorHAnsi"/>
              </w:rPr>
            </w:pPr>
            <w:r>
              <w:rPr>
                <w:rFonts w:asciiTheme="minorHAnsi" w:hAnsiTheme="minorHAnsi" w:cstheme="minorHAnsi"/>
              </w:rPr>
              <w:t>1941</w:t>
            </w:r>
          </w:p>
        </w:tc>
      </w:tr>
      <w:tr w:rsidR="00B731C3" w14:paraId="3B7D10D5" w14:textId="77777777" w:rsidTr="00A13E67">
        <w:tc>
          <w:tcPr>
            <w:tcW w:w="1563" w:type="dxa"/>
          </w:tcPr>
          <w:p w14:paraId="1189FA14" w14:textId="77777777" w:rsidR="00B731C3" w:rsidRDefault="00B731C3" w:rsidP="00A13E67">
            <w:pPr>
              <w:pStyle w:val="muudetavtekst"/>
              <w:rPr>
                <w:rFonts w:asciiTheme="minorHAnsi" w:hAnsiTheme="minorHAnsi" w:cstheme="minorHAnsi"/>
              </w:rPr>
            </w:pPr>
            <w:r>
              <w:rPr>
                <w:rFonts w:asciiTheme="minorHAnsi" w:hAnsiTheme="minorHAnsi" w:cstheme="minorHAnsi"/>
              </w:rPr>
              <w:t>S1314</w:t>
            </w:r>
          </w:p>
        </w:tc>
        <w:tc>
          <w:tcPr>
            <w:tcW w:w="5662" w:type="dxa"/>
          </w:tcPr>
          <w:p w14:paraId="754B8C88" w14:textId="77777777" w:rsidR="00B731C3" w:rsidRDefault="00B731C3" w:rsidP="00A13E67">
            <w:pPr>
              <w:pStyle w:val="muudetavtekst"/>
              <w:jc w:val="left"/>
              <w:rPr>
                <w:rFonts w:asciiTheme="minorHAnsi" w:hAnsiTheme="minorHAnsi" w:cstheme="minorHAnsi"/>
              </w:rPr>
            </w:pPr>
            <w:r>
              <w:rPr>
                <w:rFonts w:asciiTheme="minorHAnsi" w:hAnsiTheme="minorHAnsi" w:cstheme="minorHAnsi"/>
              </w:rPr>
              <w:t xml:space="preserve">Riiklikud sotsiaalkindlustusfondid </w:t>
            </w:r>
          </w:p>
        </w:tc>
        <w:tc>
          <w:tcPr>
            <w:tcW w:w="1837" w:type="dxa"/>
          </w:tcPr>
          <w:p w14:paraId="6E5B313E" w14:textId="77777777" w:rsidR="00B731C3" w:rsidRDefault="00B731C3" w:rsidP="00A13E67">
            <w:pPr>
              <w:pStyle w:val="muudetavtekst"/>
              <w:jc w:val="center"/>
              <w:rPr>
                <w:rFonts w:asciiTheme="minorHAnsi" w:hAnsiTheme="minorHAnsi" w:cstheme="minorHAnsi"/>
              </w:rPr>
            </w:pPr>
            <w:r>
              <w:rPr>
                <w:rFonts w:asciiTheme="minorHAnsi" w:hAnsiTheme="minorHAnsi" w:cstheme="minorHAnsi"/>
              </w:rPr>
              <w:t>2</w:t>
            </w:r>
          </w:p>
        </w:tc>
      </w:tr>
    </w:tbl>
    <w:p w14:paraId="47FB9837" w14:textId="77777777" w:rsidR="00B731C3" w:rsidRDefault="00B731C3" w:rsidP="00B731C3">
      <w:pPr>
        <w:pStyle w:val="muudetavtekst"/>
        <w:rPr>
          <w:rFonts w:asciiTheme="minorHAnsi" w:hAnsiTheme="minorHAnsi" w:cstheme="minorHAnsi"/>
        </w:rPr>
      </w:pPr>
    </w:p>
    <w:p w14:paraId="1A0B51D8" w14:textId="77777777" w:rsidR="00B731C3" w:rsidRDefault="00B731C3" w:rsidP="00B731C3">
      <w:pPr>
        <w:pStyle w:val="muudetavtekst"/>
        <w:rPr>
          <w:rFonts w:asciiTheme="minorHAnsi" w:hAnsiTheme="minorHAnsi" w:cstheme="minorBidi"/>
        </w:rPr>
      </w:pPr>
      <w:r w:rsidRPr="21D31667">
        <w:rPr>
          <w:rFonts w:asciiTheme="minorHAnsi" w:hAnsiTheme="minorHAnsi" w:cstheme="minorBidi"/>
        </w:rPr>
        <w:t xml:space="preserve">Keskvalitsuse alla </w:t>
      </w:r>
      <w:r>
        <w:rPr>
          <w:rFonts w:asciiTheme="minorHAnsi" w:hAnsiTheme="minorHAnsi" w:cstheme="minorBidi"/>
        </w:rPr>
        <w:t xml:space="preserve">kuuluvad järgmised </w:t>
      </w:r>
      <w:r w:rsidRPr="21D31667">
        <w:rPr>
          <w:rFonts w:asciiTheme="minorHAnsi" w:hAnsiTheme="minorHAnsi" w:cstheme="minorBidi"/>
        </w:rPr>
        <w:t>asutused: teatrid, ministeeriumid ja nende allasutused, riigigümnaasiumid, haiglate sihtasutused, muuseumide sihtasutused, ülikoolid</w:t>
      </w:r>
      <w:r>
        <w:rPr>
          <w:rFonts w:asciiTheme="minorHAnsi" w:hAnsiTheme="minorHAnsi" w:cstheme="minorBidi"/>
        </w:rPr>
        <w:t>,</w:t>
      </w:r>
      <w:r w:rsidRPr="21D31667">
        <w:rPr>
          <w:rFonts w:asciiTheme="minorHAnsi" w:hAnsiTheme="minorHAnsi" w:cstheme="minorBidi"/>
        </w:rPr>
        <w:t xml:space="preserve"> kutsekoolid jt.</w:t>
      </w:r>
    </w:p>
    <w:p w14:paraId="3F4F9978" w14:textId="77777777" w:rsidR="00B731C3" w:rsidRDefault="00B731C3" w:rsidP="00B731C3">
      <w:pPr>
        <w:pStyle w:val="muudetavtekst"/>
        <w:rPr>
          <w:rFonts w:asciiTheme="minorHAnsi" w:hAnsiTheme="minorHAnsi" w:cstheme="minorBidi"/>
        </w:rPr>
      </w:pPr>
      <w:r w:rsidRPr="39E7E879">
        <w:rPr>
          <w:rFonts w:asciiTheme="minorHAnsi" w:hAnsiTheme="minorHAnsi" w:cstheme="minorBidi"/>
        </w:rPr>
        <w:lastRenderedPageBreak/>
        <w:t>Kohalike omavalitus</w:t>
      </w:r>
      <w:r>
        <w:rPr>
          <w:rFonts w:asciiTheme="minorHAnsi" w:hAnsiTheme="minorHAnsi" w:cstheme="minorBidi"/>
        </w:rPr>
        <w:t xml:space="preserve">te asutused on järgmised: </w:t>
      </w:r>
      <w:r w:rsidRPr="43B83759">
        <w:rPr>
          <w:rFonts w:asciiTheme="minorHAnsi" w:hAnsiTheme="minorHAnsi" w:cstheme="minorBidi"/>
        </w:rPr>
        <w:t>koolid</w:t>
      </w:r>
      <w:r w:rsidRPr="39E7E879">
        <w:rPr>
          <w:rFonts w:asciiTheme="minorHAnsi" w:hAnsiTheme="minorHAnsi" w:cstheme="minorBidi"/>
        </w:rPr>
        <w:t xml:space="preserve">, </w:t>
      </w:r>
      <w:r w:rsidRPr="166F0105">
        <w:rPr>
          <w:rFonts w:asciiTheme="minorHAnsi" w:hAnsiTheme="minorHAnsi" w:cstheme="minorBidi"/>
        </w:rPr>
        <w:t>raamatukogud</w:t>
      </w:r>
      <w:r w:rsidRPr="39E7E879">
        <w:rPr>
          <w:rFonts w:asciiTheme="minorHAnsi" w:hAnsiTheme="minorHAnsi" w:cstheme="minorBidi"/>
        </w:rPr>
        <w:t xml:space="preserve">, </w:t>
      </w:r>
      <w:r w:rsidRPr="3C74A242">
        <w:rPr>
          <w:rFonts w:asciiTheme="minorHAnsi" w:hAnsiTheme="minorHAnsi" w:cstheme="minorBidi"/>
        </w:rPr>
        <w:t>lasteaiad</w:t>
      </w:r>
      <w:r>
        <w:rPr>
          <w:rFonts w:asciiTheme="minorHAnsi" w:hAnsiTheme="minorHAnsi" w:cstheme="minorBidi"/>
        </w:rPr>
        <w:t xml:space="preserve">, kommunaalettevõtted, hooldekodud, </w:t>
      </w:r>
      <w:r w:rsidRPr="39E7E879">
        <w:rPr>
          <w:rFonts w:asciiTheme="minorHAnsi" w:hAnsiTheme="minorHAnsi" w:cstheme="minorBidi"/>
        </w:rPr>
        <w:t xml:space="preserve">omavalitusliidud, hooldekodud jt asutused, mistõttu on nende </w:t>
      </w:r>
      <w:r w:rsidRPr="72A6EB69">
        <w:rPr>
          <w:rFonts w:asciiTheme="minorHAnsi" w:hAnsiTheme="minorHAnsi" w:cstheme="minorBidi"/>
        </w:rPr>
        <w:t>kogu</w:t>
      </w:r>
      <w:r w:rsidRPr="39E7E879">
        <w:rPr>
          <w:rFonts w:asciiTheme="minorHAnsi" w:hAnsiTheme="minorHAnsi" w:cstheme="minorBidi"/>
        </w:rPr>
        <w:t>arv</w:t>
      </w:r>
      <w:r w:rsidRPr="15A3060F">
        <w:rPr>
          <w:rFonts w:asciiTheme="minorHAnsi" w:hAnsiTheme="minorHAnsi" w:cstheme="minorBidi"/>
        </w:rPr>
        <w:t>,</w:t>
      </w:r>
      <w:r w:rsidRPr="69F97D06">
        <w:rPr>
          <w:rFonts w:asciiTheme="minorHAnsi" w:hAnsiTheme="minorHAnsi" w:cstheme="minorBidi"/>
        </w:rPr>
        <w:t xml:space="preserve"> millele </w:t>
      </w:r>
      <w:r w:rsidRPr="4715E918">
        <w:rPr>
          <w:rFonts w:asciiTheme="minorHAnsi" w:hAnsiTheme="minorHAnsi" w:cstheme="minorBidi"/>
        </w:rPr>
        <w:t>kohustu</w:t>
      </w:r>
      <w:r>
        <w:rPr>
          <w:rFonts w:asciiTheme="minorHAnsi" w:hAnsiTheme="minorHAnsi" w:cstheme="minorBidi"/>
        </w:rPr>
        <w:t>s</w:t>
      </w:r>
      <w:r w:rsidRPr="4715E918">
        <w:rPr>
          <w:rFonts w:asciiTheme="minorHAnsi" w:hAnsiTheme="minorHAnsi" w:cstheme="minorBidi"/>
        </w:rPr>
        <w:t xml:space="preserve"> rakendub</w:t>
      </w:r>
      <w:r w:rsidRPr="769BDCD6">
        <w:rPr>
          <w:rFonts w:asciiTheme="minorHAnsi" w:hAnsiTheme="minorHAnsi" w:cstheme="minorBidi"/>
        </w:rPr>
        <w:t>,</w:t>
      </w:r>
      <w:r w:rsidRPr="4715E918">
        <w:rPr>
          <w:rFonts w:asciiTheme="minorHAnsi" w:hAnsiTheme="minorHAnsi" w:cstheme="minorBidi"/>
        </w:rPr>
        <w:t xml:space="preserve"> </w:t>
      </w:r>
      <w:r w:rsidRPr="543006C3">
        <w:rPr>
          <w:rFonts w:asciiTheme="minorHAnsi" w:hAnsiTheme="minorHAnsi" w:cstheme="minorBidi"/>
        </w:rPr>
        <w:t xml:space="preserve">keskvalitsusega võrreldes </w:t>
      </w:r>
      <w:r w:rsidRPr="2F1ED823">
        <w:rPr>
          <w:rFonts w:asciiTheme="minorHAnsi" w:hAnsiTheme="minorHAnsi" w:cstheme="minorBidi"/>
        </w:rPr>
        <w:t>suurem</w:t>
      </w:r>
      <w:r w:rsidRPr="39E7E879">
        <w:rPr>
          <w:rFonts w:asciiTheme="minorHAnsi" w:hAnsiTheme="minorHAnsi" w:cstheme="minorBidi"/>
        </w:rPr>
        <w:t>.</w:t>
      </w:r>
    </w:p>
    <w:p w14:paraId="6BBF6DCD" w14:textId="77777777" w:rsidR="00B731C3" w:rsidRDefault="00B731C3" w:rsidP="00B731C3">
      <w:pPr>
        <w:pStyle w:val="muudetavtekst"/>
        <w:rPr>
          <w:rFonts w:asciiTheme="minorHAnsi" w:hAnsiTheme="minorHAnsi" w:cstheme="minorBidi"/>
        </w:rPr>
      </w:pPr>
      <w:r w:rsidRPr="3C577724">
        <w:rPr>
          <w:rFonts w:asciiTheme="minorHAnsi" w:hAnsiTheme="minorHAnsi" w:cstheme="minorBidi"/>
        </w:rPr>
        <w:t>Riiklikud sotsiaalkindlustusfondid</w:t>
      </w:r>
      <w:r>
        <w:rPr>
          <w:rFonts w:asciiTheme="minorHAnsi" w:hAnsiTheme="minorHAnsi" w:cstheme="minorBidi"/>
        </w:rPr>
        <w:t xml:space="preserve"> on</w:t>
      </w:r>
      <w:r w:rsidRPr="3C577724">
        <w:rPr>
          <w:rFonts w:asciiTheme="minorHAnsi" w:hAnsiTheme="minorHAnsi" w:cstheme="minorBidi"/>
        </w:rPr>
        <w:t xml:space="preserve"> Eesti Töötukassa ja Tervisekassa</w:t>
      </w:r>
      <w:r>
        <w:rPr>
          <w:rFonts w:asciiTheme="minorHAnsi" w:hAnsiTheme="minorHAnsi" w:cstheme="minorBidi"/>
        </w:rPr>
        <w:t>.</w:t>
      </w:r>
    </w:p>
    <w:p w14:paraId="29E4502E" w14:textId="77777777" w:rsidR="00B731C3" w:rsidRDefault="00B731C3" w:rsidP="00B731C3">
      <w:pPr>
        <w:spacing w:after="0" w:line="240" w:lineRule="auto"/>
        <w:jc w:val="both"/>
        <w:rPr>
          <w:rFonts w:eastAsia="Times New Roman" w:cstheme="minorHAnsi"/>
          <w:b/>
          <w:bCs/>
          <w:sz w:val="24"/>
          <w:szCs w:val="24"/>
          <w:lang w:eastAsia="et-EE"/>
        </w:rPr>
      </w:pPr>
    </w:p>
    <w:p w14:paraId="36E4AE2F" w14:textId="77777777" w:rsidR="00B731C3" w:rsidRDefault="00B731C3" w:rsidP="00B731C3">
      <w:pPr>
        <w:spacing w:after="0" w:line="240" w:lineRule="auto"/>
        <w:jc w:val="both"/>
        <w:rPr>
          <w:rFonts w:eastAsia="Times New Roman"/>
          <w:sz w:val="24"/>
          <w:szCs w:val="24"/>
          <w:lang w:eastAsia="et-EE"/>
        </w:rPr>
      </w:pPr>
      <w:r w:rsidRPr="7722650D">
        <w:rPr>
          <w:rFonts w:eastAsia="Times New Roman"/>
          <w:b/>
          <w:bCs/>
          <w:sz w:val="24"/>
          <w:szCs w:val="24"/>
          <w:lang w:eastAsia="et-EE"/>
        </w:rPr>
        <w:t>Punktiga 2</w:t>
      </w:r>
      <w:r w:rsidRPr="7722650D">
        <w:rPr>
          <w:rFonts w:eastAsia="Times New Roman"/>
          <w:sz w:val="24"/>
          <w:szCs w:val="24"/>
          <w:lang w:eastAsia="et-EE"/>
        </w:rPr>
        <w:t xml:space="preserve"> </w:t>
      </w:r>
      <w:r>
        <w:rPr>
          <w:rFonts w:eastAsia="Times New Roman"/>
          <w:sz w:val="24"/>
          <w:szCs w:val="24"/>
          <w:lang w:eastAsia="et-EE"/>
        </w:rPr>
        <w:t xml:space="preserve">muudetakse EnKSi § 2 punkt 3. Kuna mõiste energia on seotud </w:t>
      </w:r>
      <w:r w:rsidRPr="00313853">
        <w:rPr>
          <w:rFonts w:eastAsia="Times New Roman"/>
          <w:sz w:val="24"/>
          <w:szCs w:val="24"/>
          <w:lang w:eastAsia="et-EE"/>
        </w:rPr>
        <w:t>Euroopa Parlamendi ja nõukogu määruse (EÜ) nr 1099/2008</w:t>
      </w:r>
      <w:r>
        <w:rPr>
          <w:rFonts w:eastAsia="Times New Roman"/>
          <w:sz w:val="24"/>
          <w:szCs w:val="24"/>
          <w:lang w:eastAsia="et-EE"/>
        </w:rPr>
        <w:t xml:space="preserve"> (otsekohalduv riiklikke energia ja kliimakavasid käsitlev määrus), siis muudetakse mõiste korrektseks. Sisuliselt jääb termin kehtima ning tähendab: </w:t>
      </w:r>
      <w:r w:rsidRPr="00A22CC5">
        <w:rPr>
          <w:rFonts w:eastAsia="Times New Roman"/>
          <w:sz w:val="24"/>
          <w:szCs w:val="24"/>
          <w:lang w:eastAsia="et-EE"/>
        </w:rPr>
        <w:t xml:space="preserve">energia </w:t>
      </w:r>
      <w:r>
        <w:rPr>
          <w:rFonts w:eastAsia="Times New Roman"/>
          <w:sz w:val="24"/>
          <w:szCs w:val="24"/>
          <w:lang w:eastAsia="et-EE"/>
        </w:rPr>
        <w:t xml:space="preserve">on </w:t>
      </w:r>
      <w:r w:rsidRPr="00A22CC5">
        <w:rPr>
          <w:rFonts w:eastAsia="Times New Roman"/>
          <w:sz w:val="24"/>
          <w:szCs w:val="24"/>
          <w:lang w:eastAsia="et-EE"/>
        </w:rPr>
        <w:t>energiatooted, mis on põlevkütused, soojus, taastuvenergia, elekter või energia muu vorm</w:t>
      </w:r>
      <w:r>
        <w:rPr>
          <w:rFonts w:eastAsia="Times New Roman"/>
          <w:sz w:val="24"/>
          <w:szCs w:val="24"/>
          <w:lang w:eastAsia="et-EE"/>
        </w:rPr>
        <w:t xml:space="preserve">. </w:t>
      </w:r>
    </w:p>
    <w:p w14:paraId="7DFB00C3" w14:textId="77777777" w:rsidR="00B731C3" w:rsidRDefault="00B731C3" w:rsidP="00B731C3">
      <w:pPr>
        <w:spacing w:after="0" w:line="240" w:lineRule="auto"/>
        <w:jc w:val="both"/>
        <w:rPr>
          <w:rFonts w:eastAsia="Times New Roman"/>
          <w:sz w:val="24"/>
          <w:szCs w:val="24"/>
          <w:lang w:eastAsia="et-EE"/>
        </w:rPr>
      </w:pPr>
    </w:p>
    <w:p w14:paraId="215921D1" w14:textId="77777777" w:rsidR="00B731C3" w:rsidRDefault="00B731C3" w:rsidP="00B731C3">
      <w:pPr>
        <w:spacing w:after="0" w:line="240" w:lineRule="auto"/>
        <w:jc w:val="both"/>
        <w:rPr>
          <w:rFonts w:eastAsia="Times New Roman"/>
          <w:sz w:val="24"/>
          <w:szCs w:val="24"/>
          <w:lang w:eastAsia="et-EE"/>
        </w:rPr>
      </w:pPr>
      <w:r w:rsidRPr="7722650D">
        <w:rPr>
          <w:rFonts w:eastAsia="Times New Roman"/>
          <w:b/>
          <w:bCs/>
          <w:sz w:val="24"/>
          <w:szCs w:val="24"/>
          <w:lang w:eastAsia="et-EE"/>
        </w:rPr>
        <w:t xml:space="preserve">Punktiga </w:t>
      </w:r>
      <w:r>
        <w:rPr>
          <w:rFonts w:eastAsia="Times New Roman"/>
          <w:b/>
          <w:bCs/>
          <w:sz w:val="24"/>
          <w:szCs w:val="24"/>
          <w:lang w:eastAsia="et-EE"/>
        </w:rPr>
        <w:t>3</w:t>
      </w:r>
      <w:r w:rsidRPr="7722650D">
        <w:rPr>
          <w:rFonts w:eastAsia="Times New Roman"/>
          <w:sz w:val="24"/>
          <w:szCs w:val="24"/>
          <w:lang w:eastAsia="et-EE"/>
        </w:rPr>
        <w:t xml:space="preserve"> täiendatakse EnKSi § 2 punktiga 3</w:t>
      </w:r>
      <w:r w:rsidRPr="7722650D">
        <w:rPr>
          <w:rFonts w:eastAsia="Times New Roman"/>
          <w:sz w:val="24"/>
          <w:szCs w:val="24"/>
          <w:vertAlign w:val="superscript"/>
          <w:lang w:eastAsia="et-EE"/>
        </w:rPr>
        <w:t>1</w:t>
      </w:r>
      <w:r>
        <w:rPr>
          <w:rFonts w:eastAsia="Times New Roman"/>
          <w:sz w:val="24"/>
          <w:szCs w:val="24"/>
          <w:lang w:eastAsia="et-EE"/>
        </w:rPr>
        <w:t>-3</w:t>
      </w:r>
      <w:r>
        <w:rPr>
          <w:rFonts w:eastAsia="Times New Roman"/>
          <w:sz w:val="24"/>
          <w:szCs w:val="24"/>
          <w:vertAlign w:val="superscript"/>
          <w:lang w:eastAsia="et-EE"/>
        </w:rPr>
        <w:t>2</w:t>
      </w:r>
      <w:r>
        <w:rPr>
          <w:rFonts w:eastAsia="Times New Roman"/>
          <w:sz w:val="24"/>
          <w:szCs w:val="24"/>
          <w:lang w:eastAsia="et-EE"/>
        </w:rPr>
        <w:t xml:space="preserve">. </w:t>
      </w:r>
    </w:p>
    <w:p w14:paraId="737314D5" w14:textId="77777777" w:rsidR="00B731C3" w:rsidRDefault="00B731C3" w:rsidP="00B731C3">
      <w:pPr>
        <w:spacing w:after="0" w:line="240" w:lineRule="auto"/>
        <w:jc w:val="both"/>
        <w:rPr>
          <w:rFonts w:eastAsia="Times New Roman"/>
          <w:sz w:val="24"/>
          <w:szCs w:val="24"/>
          <w:lang w:eastAsia="et-EE"/>
        </w:rPr>
      </w:pPr>
      <w:r>
        <w:rPr>
          <w:rFonts w:eastAsia="Times New Roman"/>
          <w:sz w:val="24"/>
          <w:szCs w:val="24"/>
          <w:lang w:eastAsia="et-EE"/>
        </w:rPr>
        <w:t>Punktiga 3</w:t>
      </w:r>
      <w:r>
        <w:rPr>
          <w:rFonts w:eastAsia="Times New Roman"/>
          <w:sz w:val="24"/>
          <w:szCs w:val="24"/>
          <w:vertAlign w:val="superscript"/>
          <w:lang w:eastAsia="et-EE"/>
        </w:rPr>
        <w:t>1</w:t>
      </w:r>
      <w:r>
        <w:rPr>
          <w:rFonts w:eastAsia="Times New Roman"/>
          <w:sz w:val="24"/>
          <w:szCs w:val="24"/>
          <w:lang w:eastAsia="et-EE"/>
        </w:rPr>
        <w:t xml:space="preserve"> võetakse üle direktiivi artikkel 2 punkt 2.  Lisatakse uus mõiste „energiatõhususe esikohale seadmine“  mis oma olemuselt viitab erinevatele Euroopa õigusruumi aktidele, kuid sisuliselt tähendab </w:t>
      </w:r>
      <w:r w:rsidRPr="008A0C0A">
        <w:rPr>
          <w:rFonts w:eastAsia="Times New Roman"/>
          <w:sz w:val="24"/>
          <w:szCs w:val="24"/>
          <w:lang w:eastAsia="et-EE"/>
        </w:rPr>
        <w:t>alternatiivsete kulutõhusate energiatõhususmeetmete võimalikult suurel määral arvesse võtmine energiasüsteemi kavandamise ning poliitiliste ja investeerimisotsuste puhul, et muuta energianõudlus ja -pakkumine tõhusamaks, seda eelkõige energia kulutõhusa säästmise kaudu lõpptarbimises, tarbijakajast lähtuvate algatuste ning energia muundamise, ülekande ja jaotamise tõhustamise kaudu, saavutades samas ikkagi nende otsuste eesmärgid</w:t>
      </w:r>
      <w:r>
        <w:rPr>
          <w:rFonts w:eastAsia="Times New Roman"/>
          <w:sz w:val="24"/>
          <w:szCs w:val="24"/>
          <w:lang w:eastAsia="et-EE"/>
        </w:rPr>
        <w:t xml:space="preserve">. </w:t>
      </w:r>
    </w:p>
    <w:p w14:paraId="20F31B47" w14:textId="77777777" w:rsidR="00B731C3" w:rsidRDefault="00B731C3" w:rsidP="00B731C3">
      <w:pPr>
        <w:spacing w:after="0" w:line="240" w:lineRule="auto"/>
        <w:jc w:val="both"/>
        <w:rPr>
          <w:rFonts w:eastAsia="Times New Roman"/>
          <w:sz w:val="24"/>
          <w:szCs w:val="24"/>
          <w:lang w:eastAsia="et-EE"/>
        </w:rPr>
      </w:pPr>
      <w:r>
        <w:rPr>
          <w:rFonts w:eastAsia="Times New Roman"/>
          <w:sz w:val="24"/>
          <w:szCs w:val="24"/>
          <w:lang w:eastAsia="et-EE"/>
        </w:rPr>
        <w:t>Punktiga 3</w:t>
      </w:r>
      <w:r>
        <w:rPr>
          <w:rFonts w:eastAsia="Times New Roman"/>
          <w:sz w:val="24"/>
          <w:szCs w:val="24"/>
          <w:vertAlign w:val="superscript"/>
          <w:lang w:eastAsia="et-EE"/>
        </w:rPr>
        <w:t xml:space="preserve">2 </w:t>
      </w:r>
      <w:r w:rsidRPr="7722650D">
        <w:rPr>
          <w:rFonts w:eastAsia="Times New Roman"/>
          <w:sz w:val="24"/>
          <w:szCs w:val="24"/>
          <w:lang w:eastAsia="et-EE"/>
        </w:rPr>
        <w:t>võetakse üle direktiivi artikli 2 punkt 4.  Lisatakse uus mõiste „süsteemi tõhusus“, mille all mõistetakse energiatõhusate lahenduste valimist, kui need võimaldavad ka kulutõhusat süsinikuheite vähendamist, paindlikkust ja ressursside tõhusat kasutamist. Süsteemi tõhusus on näiteks suurte tootmisettevõtete puhul jääkssoojuse kasutamine. Samuti ka linna üldine energiajuhtimissüsteem, mis haldab nii taastuvenergiat, salvestust kui ka tarbimist.</w:t>
      </w:r>
    </w:p>
    <w:p w14:paraId="296A3BDA" w14:textId="77777777" w:rsidR="00B731C3" w:rsidRDefault="00B731C3" w:rsidP="00B731C3">
      <w:pPr>
        <w:spacing w:after="0" w:line="240" w:lineRule="auto"/>
        <w:jc w:val="both"/>
        <w:rPr>
          <w:rFonts w:eastAsia="Times New Roman" w:cstheme="minorHAnsi"/>
          <w:sz w:val="24"/>
          <w:szCs w:val="24"/>
          <w:lang w:eastAsia="et-EE"/>
        </w:rPr>
      </w:pPr>
    </w:p>
    <w:p w14:paraId="6B86D17D" w14:textId="77777777" w:rsidR="00B731C3" w:rsidRDefault="00B731C3" w:rsidP="00B731C3">
      <w:pPr>
        <w:pStyle w:val="muudetavtekst"/>
        <w:rPr>
          <w:rFonts w:asciiTheme="minorHAnsi" w:hAnsiTheme="minorHAnsi" w:cstheme="minorHAnsi"/>
        </w:rPr>
      </w:pPr>
      <w:r w:rsidRPr="003303CE">
        <w:rPr>
          <w:rFonts w:asciiTheme="minorHAnsi" w:hAnsiTheme="minorHAnsi" w:cstheme="minorHAnsi"/>
          <w:b/>
          <w:bCs/>
        </w:rPr>
        <w:t xml:space="preserve">Punktiga </w:t>
      </w:r>
      <w:r>
        <w:rPr>
          <w:rFonts w:asciiTheme="minorHAnsi" w:hAnsiTheme="minorHAnsi" w:cstheme="minorHAnsi"/>
          <w:b/>
          <w:bCs/>
        </w:rPr>
        <w:t>4</w:t>
      </w:r>
      <w:r>
        <w:rPr>
          <w:rFonts w:asciiTheme="minorHAnsi" w:hAnsiTheme="minorHAnsi" w:cstheme="minorHAnsi"/>
        </w:rPr>
        <w:t xml:space="preserve"> täiendatakse EnKSi § 2 punkti 6, </w:t>
      </w:r>
      <w:r w:rsidRPr="00E10153">
        <w:rPr>
          <w:rFonts w:asciiTheme="minorHAnsi" w:hAnsiTheme="minorHAnsi" w:cstheme="minorHAnsi"/>
        </w:rPr>
        <w:t xml:space="preserve">millega võetakse üle direktiivi artikli 2 punkt </w:t>
      </w:r>
      <w:r>
        <w:rPr>
          <w:rFonts w:asciiTheme="minorHAnsi" w:hAnsiTheme="minorHAnsi" w:cstheme="minorHAnsi"/>
        </w:rPr>
        <w:t>16. Täpsustatakse mõistet „</w:t>
      </w:r>
      <w:r w:rsidRPr="00B85512">
        <w:rPr>
          <w:rFonts w:asciiTheme="minorHAnsi" w:hAnsiTheme="minorHAnsi" w:cstheme="minorHAnsi"/>
        </w:rPr>
        <w:t>energiajuhtimissüsteem – kogum üksteisega seotud või üksteist mõjutavaid elemente, mis esinevad kavas, millega kehtestatakse energiatõhususe eesmärk ja strateegia selle eesmärgi saavutamiseks</w:t>
      </w:r>
      <w:r>
        <w:rPr>
          <w:rFonts w:asciiTheme="minorHAnsi" w:hAnsiTheme="minorHAnsi" w:cstheme="minorHAnsi"/>
        </w:rPr>
        <w:t>“, lisades täpsustava muudatuse „</w:t>
      </w:r>
      <w:r w:rsidRPr="00DD297E">
        <w:rPr>
          <w:rFonts w:asciiTheme="minorHAnsi" w:hAnsiTheme="minorHAnsi" w:cstheme="minorHAnsi"/>
        </w:rPr>
        <w:t>sealhulgas tegeliku energiatarbimise seire, energiatõhususe suurendamiseks võetavad meetmed ja edusammude mõõtmine</w:t>
      </w:r>
      <w:r>
        <w:rPr>
          <w:rFonts w:asciiTheme="minorHAnsi" w:hAnsiTheme="minorHAnsi" w:cstheme="minorHAnsi"/>
        </w:rPr>
        <w:t>“</w:t>
      </w:r>
      <w:r w:rsidRPr="00DD297E">
        <w:rPr>
          <w:rFonts w:asciiTheme="minorHAnsi" w:hAnsiTheme="minorHAnsi" w:cstheme="minorHAnsi"/>
        </w:rPr>
        <w:t>;</w:t>
      </w:r>
    </w:p>
    <w:p w14:paraId="2E1FAA90" w14:textId="77777777" w:rsidR="00B731C3" w:rsidRPr="008C1505" w:rsidRDefault="00B731C3" w:rsidP="00B731C3">
      <w:pPr>
        <w:spacing w:after="0" w:line="240" w:lineRule="auto"/>
        <w:jc w:val="both"/>
        <w:rPr>
          <w:rFonts w:eastAsia="Times New Roman" w:cstheme="minorHAnsi"/>
          <w:sz w:val="24"/>
          <w:szCs w:val="24"/>
          <w:lang w:eastAsia="et-EE"/>
        </w:rPr>
      </w:pPr>
    </w:p>
    <w:p w14:paraId="0FDF1D6C" w14:textId="77777777" w:rsidR="00B731C3" w:rsidRDefault="00B731C3" w:rsidP="00B731C3">
      <w:pPr>
        <w:spacing w:after="0" w:line="240" w:lineRule="auto"/>
        <w:jc w:val="both"/>
        <w:rPr>
          <w:rFonts w:ascii="Times New Roman" w:hAnsi="Times New Roman"/>
          <w:sz w:val="24"/>
          <w:szCs w:val="24"/>
        </w:rPr>
      </w:pPr>
      <w:r w:rsidRPr="00C97D74">
        <w:rPr>
          <w:rFonts w:ascii="Times New Roman" w:hAnsi="Times New Roman"/>
          <w:b/>
          <w:bCs/>
          <w:sz w:val="24"/>
          <w:szCs w:val="24"/>
        </w:rPr>
        <w:t xml:space="preserve">Punktiga </w:t>
      </w:r>
      <w:r>
        <w:rPr>
          <w:rFonts w:ascii="Times New Roman" w:hAnsi="Times New Roman"/>
          <w:b/>
          <w:bCs/>
          <w:sz w:val="24"/>
          <w:szCs w:val="24"/>
        </w:rPr>
        <w:t>5</w:t>
      </w:r>
      <w:r>
        <w:rPr>
          <w:rFonts w:ascii="Times New Roman" w:hAnsi="Times New Roman"/>
          <w:sz w:val="24"/>
          <w:szCs w:val="24"/>
        </w:rPr>
        <w:t xml:space="preserve"> muudetakse EnKSi § 2 punkti 7, </w:t>
      </w:r>
      <w:r w:rsidRPr="0053099E">
        <w:rPr>
          <w:rFonts w:ascii="Times New Roman" w:hAnsi="Times New Roman"/>
          <w:sz w:val="24"/>
          <w:szCs w:val="24"/>
        </w:rPr>
        <w:t xml:space="preserve">millega võetakse üle direktiivi artikli 2 punkt </w:t>
      </w:r>
      <w:r>
        <w:rPr>
          <w:rFonts w:ascii="Times New Roman" w:hAnsi="Times New Roman"/>
          <w:sz w:val="24"/>
          <w:szCs w:val="24"/>
        </w:rPr>
        <w:t>6. Täpsustatakse mõistet „energia lõpptarbimine“. Võrreldes kehtiva mõistega täpsustatakse, et lõpptarbimise hulka tuleb lugeda rahvusvaheline õhuvedude energiatarbimine, aga välja võib jätta rahvusvaheliste merepunkrivarude energia</w:t>
      </w:r>
      <w:r w:rsidRPr="1538BB26">
        <w:rPr>
          <w:rFonts w:ascii="Times New Roman" w:hAnsi="Times New Roman"/>
          <w:sz w:val="24"/>
          <w:szCs w:val="24"/>
        </w:rPr>
        <w:t>tarbimise.</w:t>
      </w:r>
    </w:p>
    <w:p w14:paraId="7D787A2B" w14:textId="77777777" w:rsidR="00B731C3" w:rsidRDefault="00B731C3" w:rsidP="00B731C3">
      <w:pPr>
        <w:spacing w:after="0" w:line="240" w:lineRule="auto"/>
        <w:jc w:val="both"/>
        <w:rPr>
          <w:rFonts w:ascii="Times New Roman" w:hAnsi="Times New Roman"/>
          <w:sz w:val="24"/>
          <w:szCs w:val="24"/>
        </w:rPr>
      </w:pPr>
    </w:p>
    <w:p w14:paraId="11F3BDD5" w14:textId="77777777" w:rsidR="00B731C3" w:rsidRDefault="00B731C3" w:rsidP="00B731C3">
      <w:pPr>
        <w:spacing w:after="0" w:line="240" w:lineRule="auto"/>
        <w:jc w:val="both"/>
        <w:rPr>
          <w:rFonts w:eastAsia="Times New Roman"/>
          <w:sz w:val="24"/>
          <w:szCs w:val="24"/>
          <w:lang w:eastAsia="et-EE"/>
        </w:rPr>
      </w:pPr>
      <w:r w:rsidRPr="5621D634">
        <w:rPr>
          <w:rFonts w:eastAsia="Times New Roman"/>
          <w:b/>
          <w:sz w:val="24"/>
          <w:szCs w:val="24"/>
          <w:lang w:eastAsia="et-EE"/>
        </w:rPr>
        <w:t xml:space="preserve">Punktiga </w:t>
      </w:r>
      <w:r>
        <w:rPr>
          <w:rFonts w:eastAsia="Times New Roman"/>
          <w:b/>
          <w:sz w:val="24"/>
          <w:szCs w:val="24"/>
          <w:lang w:eastAsia="et-EE"/>
        </w:rPr>
        <w:t>6</w:t>
      </w:r>
      <w:r w:rsidRPr="5621D634">
        <w:rPr>
          <w:rFonts w:eastAsia="Times New Roman"/>
          <w:sz w:val="24"/>
          <w:szCs w:val="24"/>
          <w:lang w:eastAsia="et-EE"/>
        </w:rPr>
        <w:t xml:space="preserve"> täiendatakse EnKS</w:t>
      </w:r>
      <w:r>
        <w:rPr>
          <w:rFonts w:eastAsia="Times New Roman"/>
          <w:sz w:val="24"/>
          <w:szCs w:val="24"/>
          <w:lang w:eastAsia="et-EE"/>
        </w:rPr>
        <w:t>i</w:t>
      </w:r>
      <w:r w:rsidRPr="5621D634">
        <w:rPr>
          <w:rFonts w:eastAsia="Times New Roman"/>
          <w:sz w:val="24"/>
          <w:szCs w:val="24"/>
          <w:lang w:eastAsia="et-EE"/>
        </w:rPr>
        <w:t xml:space="preserve"> § 2 punktiga 8</w:t>
      </w:r>
      <w:r w:rsidRPr="5621D634">
        <w:rPr>
          <w:rFonts w:eastAsia="Times New Roman"/>
          <w:sz w:val="24"/>
          <w:szCs w:val="24"/>
          <w:vertAlign w:val="superscript"/>
          <w:lang w:eastAsia="et-EE"/>
        </w:rPr>
        <w:t>1</w:t>
      </w:r>
      <w:r>
        <w:rPr>
          <w:rFonts w:eastAsia="Times New Roman"/>
          <w:sz w:val="24"/>
          <w:szCs w:val="24"/>
          <w:lang w:eastAsia="et-EE"/>
        </w:rPr>
        <w:t>,</w:t>
      </w:r>
      <w:r w:rsidRPr="00457B34">
        <w:t xml:space="preserve"> </w:t>
      </w:r>
      <w:bookmarkStart w:id="1" w:name="_Hlk201806936"/>
      <w:r w:rsidRPr="00457B34">
        <w:rPr>
          <w:rFonts w:eastAsia="Times New Roman"/>
          <w:sz w:val="24"/>
          <w:szCs w:val="24"/>
          <w:lang w:eastAsia="et-EE"/>
        </w:rPr>
        <w:t xml:space="preserve">millega võetakse üle direktiivi artikli 2 punkt </w:t>
      </w:r>
      <w:r>
        <w:rPr>
          <w:rFonts w:eastAsia="Times New Roman"/>
          <w:sz w:val="24"/>
          <w:szCs w:val="24"/>
          <w:lang w:eastAsia="et-EE"/>
        </w:rPr>
        <w:t>3</w:t>
      </w:r>
      <w:bookmarkEnd w:id="1"/>
      <w:r w:rsidRPr="5621D634">
        <w:rPr>
          <w:rFonts w:eastAsia="Times New Roman"/>
          <w:sz w:val="24"/>
          <w:szCs w:val="24"/>
          <w:lang w:eastAsia="et-EE"/>
        </w:rPr>
        <w:t xml:space="preserve"> Lisatakse uus mõiste „</w:t>
      </w:r>
      <w:r w:rsidRPr="00E363D0">
        <w:rPr>
          <w:rFonts w:eastAsia="Times New Roman"/>
          <w:sz w:val="24"/>
          <w:szCs w:val="24"/>
          <w:lang w:eastAsia="et-EE"/>
        </w:rPr>
        <w:t>energiasüsteem“,</w:t>
      </w:r>
      <w:r w:rsidRPr="00E363D0">
        <w:rPr>
          <w:sz w:val="24"/>
          <w:szCs w:val="24"/>
        </w:rPr>
        <w:t xml:space="preserve"> mis on süsteem, mis on </w:t>
      </w:r>
      <w:r w:rsidRPr="00E363D0">
        <w:rPr>
          <w:rFonts w:eastAsia="Times New Roman"/>
          <w:sz w:val="24"/>
          <w:szCs w:val="24"/>
          <w:lang w:eastAsia="et-EE"/>
        </w:rPr>
        <w:t>eelkõige</w:t>
      </w:r>
      <w:r w:rsidRPr="5621D634">
        <w:rPr>
          <w:rFonts w:eastAsia="Times New Roman"/>
          <w:sz w:val="24"/>
          <w:szCs w:val="24"/>
          <w:lang w:eastAsia="et-EE"/>
        </w:rPr>
        <w:t xml:space="preserve"> ette nähtud energiateenuste osutamiseks, et </w:t>
      </w:r>
      <w:r>
        <w:rPr>
          <w:rFonts w:eastAsia="Times New Roman"/>
          <w:sz w:val="24"/>
          <w:szCs w:val="24"/>
          <w:lang w:eastAsia="et-EE"/>
        </w:rPr>
        <w:t xml:space="preserve">täita </w:t>
      </w:r>
      <w:r w:rsidRPr="5621D634">
        <w:rPr>
          <w:rFonts w:eastAsia="Times New Roman"/>
          <w:sz w:val="24"/>
          <w:szCs w:val="24"/>
          <w:lang w:eastAsia="et-EE"/>
        </w:rPr>
        <w:t>lõpptarbimis</w:t>
      </w:r>
      <w:r>
        <w:rPr>
          <w:rFonts w:eastAsia="Times New Roman"/>
          <w:sz w:val="24"/>
          <w:szCs w:val="24"/>
          <w:lang w:eastAsia="et-EE"/>
        </w:rPr>
        <w:t xml:space="preserve">e </w:t>
      </w:r>
      <w:r w:rsidRPr="5621D634">
        <w:rPr>
          <w:rFonts w:eastAsia="Times New Roman"/>
          <w:sz w:val="24"/>
          <w:szCs w:val="24"/>
          <w:lang w:eastAsia="et-EE"/>
        </w:rPr>
        <w:t>sektorite energianõudlus soojuse, kütuste ja elektri</w:t>
      </w:r>
      <w:r>
        <w:rPr>
          <w:rFonts w:eastAsia="Times New Roman"/>
          <w:sz w:val="24"/>
          <w:szCs w:val="24"/>
          <w:lang w:eastAsia="et-EE"/>
        </w:rPr>
        <w:t>na</w:t>
      </w:r>
      <w:r w:rsidRPr="5621D634">
        <w:rPr>
          <w:rFonts w:eastAsia="Times New Roman"/>
          <w:sz w:val="24"/>
          <w:szCs w:val="24"/>
          <w:lang w:eastAsia="et-EE"/>
        </w:rPr>
        <w:t>;</w:t>
      </w:r>
    </w:p>
    <w:p w14:paraId="4EC651BF" w14:textId="77777777" w:rsidR="00B731C3" w:rsidRDefault="00B731C3" w:rsidP="00B731C3">
      <w:pPr>
        <w:pStyle w:val="muudetavtekst"/>
        <w:rPr>
          <w:rFonts w:asciiTheme="minorHAnsi" w:hAnsiTheme="minorHAnsi" w:cstheme="minorHAnsi"/>
          <w:b/>
          <w:bCs/>
        </w:rPr>
      </w:pPr>
    </w:p>
    <w:p w14:paraId="293ADD29" w14:textId="77777777" w:rsidR="00B731C3" w:rsidRDefault="00B731C3" w:rsidP="00B731C3">
      <w:pPr>
        <w:spacing w:after="0" w:line="240" w:lineRule="auto"/>
        <w:jc w:val="both"/>
        <w:rPr>
          <w:rFonts w:ascii="Times New Roman" w:hAnsi="Times New Roman"/>
          <w:sz w:val="24"/>
          <w:szCs w:val="24"/>
        </w:rPr>
      </w:pPr>
      <w:r w:rsidRPr="7722650D">
        <w:rPr>
          <w:rFonts w:ascii="Times New Roman" w:hAnsi="Times New Roman"/>
          <w:b/>
          <w:bCs/>
          <w:sz w:val="24"/>
          <w:szCs w:val="24"/>
        </w:rPr>
        <w:t xml:space="preserve">Punktiga </w:t>
      </w:r>
      <w:r>
        <w:rPr>
          <w:rFonts w:ascii="Times New Roman" w:hAnsi="Times New Roman"/>
          <w:b/>
          <w:bCs/>
          <w:sz w:val="24"/>
          <w:szCs w:val="24"/>
        </w:rPr>
        <w:t>7</w:t>
      </w:r>
      <w:r w:rsidRPr="7722650D">
        <w:rPr>
          <w:rFonts w:ascii="Times New Roman" w:hAnsi="Times New Roman"/>
          <w:b/>
          <w:bCs/>
          <w:sz w:val="24"/>
          <w:szCs w:val="24"/>
        </w:rPr>
        <w:t xml:space="preserve"> </w:t>
      </w:r>
      <w:r w:rsidRPr="7722650D">
        <w:rPr>
          <w:rFonts w:ascii="Times New Roman" w:hAnsi="Times New Roman"/>
          <w:sz w:val="24"/>
          <w:szCs w:val="24"/>
        </w:rPr>
        <w:t xml:space="preserve">muudetakse </w:t>
      </w:r>
      <w:r w:rsidRPr="00A1190F">
        <w:rPr>
          <w:rFonts w:ascii="Times New Roman" w:hAnsi="Times New Roman"/>
          <w:sz w:val="24"/>
          <w:szCs w:val="24"/>
        </w:rPr>
        <w:t>EnKSi § 2 punktis 26 mõistet „primaarenergia</w:t>
      </w:r>
      <w:r w:rsidRPr="00021190">
        <w:rPr>
          <w:rFonts w:ascii="Times New Roman" w:hAnsi="Times New Roman"/>
          <w:sz w:val="24"/>
          <w:szCs w:val="24"/>
        </w:rPr>
        <w:t xml:space="preserve"> tarbimine</w:t>
      </w:r>
      <w:r w:rsidRPr="00A1190F">
        <w:rPr>
          <w:rFonts w:ascii="Times New Roman" w:hAnsi="Times New Roman"/>
          <w:sz w:val="24"/>
          <w:szCs w:val="24"/>
        </w:rPr>
        <w:t>“ ja võetakse</w:t>
      </w:r>
      <w:r w:rsidRPr="00D521FF">
        <w:rPr>
          <w:rFonts w:ascii="Times New Roman" w:hAnsi="Times New Roman"/>
          <w:sz w:val="24"/>
          <w:szCs w:val="24"/>
        </w:rPr>
        <w:t xml:space="preserve"> üle direktiivi artikli 2 punkt </w:t>
      </w:r>
      <w:r>
        <w:rPr>
          <w:rFonts w:ascii="Times New Roman" w:hAnsi="Times New Roman"/>
          <w:sz w:val="24"/>
          <w:szCs w:val="24"/>
        </w:rPr>
        <w:t xml:space="preserve">5. </w:t>
      </w:r>
      <w:r w:rsidRPr="7722650D">
        <w:rPr>
          <w:rFonts w:ascii="Times New Roman" w:hAnsi="Times New Roman"/>
          <w:sz w:val="24"/>
          <w:szCs w:val="24"/>
        </w:rPr>
        <w:t xml:space="preserve">Võrreldes kehtiva mõistega täpsustatakse, et primaarenergia mõiste ei käsitle rahvusvahelisi merepunkrivarusid ja ümbritseva keskkonna ehk taastuvenergiat. Muudatus on täpsustava iseloomuga. </w:t>
      </w:r>
    </w:p>
    <w:p w14:paraId="52434064" w14:textId="77777777" w:rsidR="00B731C3" w:rsidRDefault="00B731C3" w:rsidP="00B731C3">
      <w:pPr>
        <w:pStyle w:val="muudetavtekst"/>
        <w:rPr>
          <w:rFonts w:asciiTheme="minorHAnsi" w:hAnsiTheme="minorHAnsi" w:cstheme="minorHAnsi"/>
        </w:rPr>
      </w:pPr>
    </w:p>
    <w:p w14:paraId="790A15A4" w14:textId="77777777" w:rsidR="00B731C3" w:rsidRPr="00CA3F7A" w:rsidRDefault="00B731C3" w:rsidP="00B731C3">
      <w:pPr>
        <w:pStyle w:val="muudetavtekst"/>
        <w:rPr>
          <w:rFonts w:asciiTheme="minorHAnsi" w:hAnsiTheme="minorHAnsi" w:cstheme="minorBidi"/>
          <w:bCs/>
        </w:rPr>
      </w:pPr>
      <w:r w:rsidRPr="752CD64A">
        <w:rPr>
          <w:rFonts w:asciiTheme="minorHAnsi" w:hAnsiTheme="minorHAnsi" w:cstheme="minorBidi"/>
          <w:b/>
        </w:rPr>
        <w:t xml:space="preserve">Punktiga </w:t>
      </w:r>
      <w:r>
        <w:rPr>
          <w:rFonts w:asciiTheme="minorHAnsi" w:hAnsiTheme="minorHAnsi" w:cstheme="minorBidi"/>
          <w:b/>
        </w:rPr>
        <w:t>8</w:t>
      </w:r>
      <w:r w:rsidRPr="752CD64A">
        <w:rPr>
          <w:rFonts w:asciiTheme="minorHAnsi" w:hAnsiTheme="minorHAnsi" w:cstheme="minorBidi"/>
          <w:b/>
        </w:rPr>
        <w:t xml:space="preserve"> </w:t>
      </w:r>
      <w:r w:rsidRPr="00A23FBE">
        <w:rPr>
          <w:rFonts w:asciiTheme="minorHAnsi" w:hAnsiTheme="minorHAnsi" w:cstheme="minorBidi"/>
          <w:bCs/>
        </w:rPr>
        <w:t>muudetakse</w:t>
      </w:r>
      <w:r>
        <w:rPr>
          <w:rFonts w:asciiTheme="minorHAnsi" w:hAnsiTheme="minorHAnsi" w:cstheme="minorBidi"/>
          <w:bCs/>
        </w:rPr>
        <w:t xml:space="preserve"> EnKS-i § 2 punkti 29, millega võetakse üle direktiiv artikkel 2 punkt 30. </w:t>
      </w:r>
      <w:r w:rsidRPr="00B40425">
        <w:rPr>
          <w:rFonts w:asciiTheme="minorHAnsi" w:hAnsiTheme="minorHAnsi" w:cstheme="minorBidi"/>
          <w:bCs/>
        </w:rPr>
        <w:t xml:space="preserve">See on ettevõtja, kellel on vähem kui </w:t>
      </w:r>
      <w:r>
        <w:rPr>
          <w:rFonts w:asciiTheme="minorHAnsi" w:hAnsiTheme="minorHAnsi" w:cstheme="minorBidi"/>
          <w:bCs/>
        </w:rPr>
        <w:t>250</w:t>
      </w:r>
      <w:r w:rsidRPr="00B40425">
        <w:rPr>
          <w:rFonts w:asciiTheme="minorHAnsi" w:hAnsiTheme="minorHAnsi" w:cstheme="minorBidi"/>
          <w:bCs/>
        </w:rPr>
        <w:t xml:space="preserve"> töötajat ja kelle aastakäive </w:t>
      </w:r>
      <w:r>
        <w:rPr>
          <w:rFonts w:asciiTheme="minorHAnsi" w:hAnsiTheme="minorHAnsi" w:cstheme="minorBidi"/>
          <w:bCs/>
        </w:rPr>
        <w:t xml:space="preserve">on üle 50 miljoni euro </w:t>
      </w:r>
      <w:r w:rsidRPr="00B40425">
        <w:rPr>
          <w:rFonts w:asciiTheme="minorHAnsi" w:hAnsiTheme="minorHAnsi" w:cstheme="minorBidi"/>
          <w:bCs/>
        </w:rPr>
        <w:lastRenderedPageBreak/>
        <w:t xml:space="preserve">ja/või aastabilansi kogumaht ei ületa </w:t>
      </w:r>
      <w:r>
        <w:rPr>
          <w:rFonts w:asciiTheme="minorHAnsi" w:hAnsiTheme="minorHAnsi" w:cstheme="minorBidi"/>
          <w:bCs/>
        </w:rPr>
        <w:t>43</w:t>
      </w:r>
      <w:r w:rsidRPr="00B40425">
        <w:rPr>
          <w:rFonts w:asciiTheme="minorHAnsi" w:hAnsiTheme="minorHAnsi" w:cstheme="minorBidi"/>
          <w:bCs/>
        </w:rPr>
        <w:t xml:space="preserve"> miljonit eurot. Põhineb Euroopa Komisjoni soovitusel</w:t>
      </w:r>
      <w:r>
        <w:rPr>
          <w:rStyle w:val="Allmrkuseviide"/>
          <w:rFonts w:asciiTheme="minorHAnsi" w:hAnsiTheme="minorHAnsi" w:cstheme="minorBidi"/>
          <w:bCs/>
        </w:rPr>
        <w:footnoteReference w:id="13"/>
      </w:r>
      <w:r w:rsidRPr="00B40425">
        <w:rPr>
          <w:rFonts w:asciiTheme="minorHAnsi" w:hAnsiTheme="minorHAnsi" w:cstheme="minorBidi"/>
          <w:bCs/>
        </w:rPr>
        <w:t xml:space="preserve">  2003/361/EÜ ning juhendmaterjalil „VKEde määratlust käsitlev teatmik“.</w:t>
      </w:r>
      <w:r>
        <w:rPr>
          <w:rStyle w:val="Allmrkuseviide"/>
          <w:rFonts w:asciiTheme="minorHAnsi" w:hAnsiTheme="minorHAnsi" w:cstheme="minorBidi"/>
          <w:bCs/>
        </w:rPr>
        <w:footnoteReference w:id="14"/>
      </w:r>
    </w:p>
    <w:p w14:paraId="12ED2234" w14:textId="77777777" w:rsidR="00B731C3" w:rsidRDefault="00B731C3" w:rsidP="00B731C3">
      <w:pPr>
        <w:pStyle w:val="muudetavtekst"/>
        <w:rPr>
          <w:rFonts w:asciiTheme="minorHAnsi" w:hAnsiTheme="minorHAnsi" w:cstheme="minorBidi"/>
          <w:bCs/>
        </w:rPr>
      </w:pPr>
    </w:p>
    <w:p w14:paraId="2E45CE7A" w14:textId="77777777" w:rsidR="00B731C3" w:rsidRPr="004928C2" w:rsidRDefault="00B731C3" w:rsidP="00B731C3">
      <w:pPr>
        <w:pStyle w:val="muudetavtekst"/>
        <w:rPr>
          <w:rFonts w:asciiTheme="minorHAnsi" w:hAnsiTheme="minorHAnsi" w:cstheme="minorBidi"/>
          <w:bCs/>
          <w:vertAlign w:val="superscript"/>
        </w:rPr>
      </w:pPr>
      <w:r w:rsidRPr="00567EB3">
        <w:rPr>
          <w:rFonts w:asciiTheme="minorHAnsi" w:hAnsiTheme="minorHAnsi" w:cstheme="minorBidi"/>
          <w:b/>
        </w:rPr>
        <w:t xml:space="preserve">Punktiga </w:t>
      </w:r>
      <w:r>
        <w:rPr>
          <w:rFonts w:asciiTheme="minorHAnsi" w:hAnsiTheme="minorHAnsi" w:cstheme="minorBidi"/>
          <w:b/>
        </w:rPr>
        <w:t>9</w:t>
      </w:r>
      <w:r>
        <w:rPr>
          <w:rFonts w:asciiTheme="minorHAnsi" w:hAnsiTheme="minorHAnsi" w:cstheme="minorBidi"/>
          <w:bCs/>
        </w:rPr>
        <w:t xml:space="preserve"> </w:t>
      </w:r>
      <w:r w:rsidRPr="11F50998">
        <w:rPr>
          <w:rFonts w:asciiTheme="minorHAnsi" w:hAnsiTheme="minorHAnsi" w:cstheme="minorBidi"/>
        </w:rPr>
        <w:t>lisatakse EnKS</w:t>
      </w:r>
      <w:r>
        <w:rPr>
          <w:rFonts w:asciiTheme="minorHAnsi" w:hAnsiTheme="minorHAnsi" w:cstheme="minorBidi"/>
        </w:rPr>
        <w:t>i</w:t>
      </w:r>
      <w:r w:rsidRPr="11F50998">
        <w:rPr>
          <w:rFonts w:asciiTheme="minorHAnsi" w:hAnsiTheme="minorHAnsi" w:cstheme="minorBidi"/>
        </w:rPr>
        <w:t xml:space="preserve"> § 2 punkt 21</w:t>
      </w:r>
      <w:r w:rsidRPr="11F50998">
        <w:rPr>
          <w:rFonts w:asciiTheme="minorHAnsi" w:hAnsiTheme="minorHAnsi" w:cstheme="minorBidi"/>
          <w:vertAlign w:val="superscript"/>
        </w:rPr>
        <w:t>4</w:t>
      </w:r>
      <w:r>
        <w:rPr>
          <w:rFonts w:asciiTheme="minorHAnsi" w:hAnsiTheme="minorHAnsi" w:cstheme="minorBidi"/>
        </w:rPr>
        <w:t>,</w:t>
      </w:r>
      <w:r w:rsidRPr="00E317FA">
        <w:t xml:space="preserve"> </w:t>
      </w:r>
      <w:r w:rsidRPr="00E317FA">
        <w:rPr>
          <w:rFonts w:asciiTheme="minorHAnsi" w:hAnsiTheme="minorHAnsi" w:cstheme="minorBidi"/>
        </w:rPr>
        <w:t>millega võetakse üle direktiivi artikli 2 punkt 3</w:t>
      </w:r>
      <w:r>
        <w:rPr>
          <w:rFonts w:asciiTheme="minorHAnsi" w:hAnsiTheme="minorHAnsi" w:cstheme="minorBidi"/>
        </w:rPr>
        <w:t xml:space="preserve">1, </w:t>
      </w:r>
      <w:r w:rsidRPr="11F50998">
        <w:rPr>
          <w:rFonts w:asciiTheme="minorHAnsi" w:hAnsiTheme="minorHAnsi" w:cstheme="minorBidi"/>
        </w:rPr>
        <w:t>mõiste „mikroettevõtja“</w:t>
      </w:r>
      <w:r>
        <w:rPr>
          <w:rFonts w:asciiTheme="minorHAnsi" w:hAnsiTheme="minorHAnsi" w:cstheme="minorBidi"/>
        </w:rPr>
        <w:t>. See on</w:t>
      </w:r>
      <w:r w:rsidRPr="11F50998">
        <w:rPr>
          <w:rFonts w:asciiTheme="minorHAnsi" w:hAnsiTheme="minorHAnsi" w:cstheme="minorBidi"/>
        </w:rPr>
        <w:t xml:space="preserve"> ettevõtja, kellel on vähem kui </w:t>
      </w:r>
      <w:r>
        <w:rPr>
          <w:rFonts w:asciiTheme="minorHAnsi" w:hAnsiTheme="minorHAnsi" w:cstheme="minorBidi"/>
        </w:rPr>
        <w:t>kümme</w:t>
      </w:r>
      <w:r w:rsidRPr="11F50998">
        <w:rPr>
          <w:rFonts w:asciiTheme="minorHAnsi" w:hAnsiTheme="minorHAnsi" w:cstheme="minorBidi"/>
        </w:rPr>
        <w:t xml:space="preserve"> töötajat ja kelle aastakäive ja/või aastabilansi kogumaht ei ületa 2 miljonit eurot. </w:t>
      </w:r>
      <w:r>
        <w:rPr>
          <w:rFonts w:asciiTheme="minorHAnsi" w:hAnsiTheme="minorHAnsi" w:cstheme="minorBidi"/>
        </w:rPr>
        <w:t xml:space="preserve">Põhineb Euroopa Komisjoni </w:t>
      </w:r>
      <w:r w:rsidRPr="00A55E94">
        <w:rPr>
          <w:rFonts w:asciiTheme="minorHAnsi" w:hAnsiTheme="minorHAnsi" w:cstheme="minorBidi"/>
        </w:rPr>
        <w:t>soovituse</w:t>
      </w:r>
      <w:r>
        <w:rPr>
          <w:rFonts w:asciiTheme="minorHAnsi" w:hAnsiTheme="minorHAnsi" w:cstheme="minorBidi"/>
        </w:rPr>
        <w:t>l</w:t>
      </w:r>
      <w:r>
        <w:rPr>
          <w:rFonts w:asciiTheme="minorHAnsi" w:hAnsiTheme="minorHAnsi" w:cstheme="minorBidi"/>
          <w:vertAlign w:val="superscript"/>
        </w:rPr>
        <w:t>12</w:t>
      </w:r>
      <w:r w:rsidRPr="00A55E94">
        <w:rPr>
          <w:rFonts w:asciiTheme="minorHAnsi" w:hAnsiTheme="minorHAnsi" w:cstheme="minorBidi"/>
        </w:rPr>
        <w:t xml:space="preserve"> 2003/361/EÜ</w:t>
      </w:r>
      <w:r>
        <w:rPr>
          <w:rFonts w:asciiTheme="minorHAnsi" w:hAnsiTheme="minorHAnsi" w:cstheme="minorBidi"/>
        </w:rPr>
        <w:t xml:space="preserve"> ning juhendmaterjalil „VKEde määratlust käsitlev teatmik“.</w:t>
      </w:r>
      <w:r>
        <w:rPr>
          <w:rFonts w:asciiTheme="minorHAnsi" w:hAnsiTheme="minorHAnsi" w:cstheme="minorBidi"/>
          <w:vertAlign w:val="superscript"/>
        </w:rPr>
        <w:t>13</w:t>
      </w:r>
    </w:p>
    <w:p w14:paraId="470EF0E4" w14:textId="77777777" w:rsidR="00B731C3" w:rsidRDefault="00B731C3" w:rsidP="00B731C3">
      <w:pPr>
        <w:pStyle w:val="muudetavtekst"/>
        <w:rPr>
          <w:rFonts w:asciiTheme="minorHAnsi" w:hAnsiTheme="minorHAnsi" w:cstheme="minorBidi"/>
          <w:b/>
        </w:rPr>
      </w:pPr>
    </w:p>
    <w:p w14:paraId="233C3B1D" w14:textId="77777777" w:rsidR="00B731C3" w:rsidRDefault="00B731C3" w:rsidP="00B731C3">
      <w:pPr>
        <w:pStyle w:val="muudetavtekst"/>
        <w:rPr>
          <w:rFonts w:asciiTheme="minorHAnsi" w:hAnsiTheme="minorHAnsi" w:cstheme="minorBidi"/>
        </w:rPr>
      </w:pPr>
      <w:r w:rsidRPr="00731319">
        <w:rPr>
          <w:rFonts w:asciiTheme="minorHAnsi" w:hAnsiTheme="minorHAnsi" w:cstheme="minorBidi"/>
          <w:b/>
          <w:bCs/>
        </w:rPr>
        <w:t xml:space="preserve">Punktiga </w:t>
      </w:r>
      <w:r>
        <w:rPr>
          <w:rFonts w:asciiTheme="minorHAnsi" w:hAnsiTheme="minorHAnsi" w:cstheme="minorBidi"/>
          <w:b/>
          <w:bCs/>
        </w:rPr>
        <w:t>10</w:t>
      </w:r>
      <w:r>
        <w:rPr>
          <w:rFonts w:asciiTheme="minorHAnsi" w:hAnsiTheme="minorHAnsi" w:cstheme="minorBidi"/>
        </w:rPr>
        <w:t xml:space="preserve"> </w:t>
      </w:r>
      <w:r w:rsidRPr="752CD64A">
        <w:rPr>
          <w:rFonts w:asciiTheme="minorHAnsi" w:hAnsiTheme="minorHAnsi" w:cstheme="minorBidi"/>
        </w:rPr>
        <w:t>lisatakse EnKS</w:t>
      </w:r>
      <w:r>
        <w:rPr>
          <w:rFonts w:asciiTheme="minorHAnsi" w:hAnsiTheme="minorHAnsi" w:cstheme="minorBidi"/>
        </w:rPr>
        <w:t>i</w:t>
      </w:r>
      <w:r w:rsidRPr="752CD64A">
        <w:rPr>
          <w:rFonts w:asciiTheme="minorHAnsi" w:hAnsiTheme="minorHAnsi" w:cstheme="minorBidi"/>
        </w:rPr>
        <w:t xml:space="preserve"> § 2 punkt</w:t>
      </w:r>
      <w:r>
        <w:rPr>
          <w:rFonts w:asciiTheme="minorHAnsi" w:hAnsiTheme="minorHAnsi" w:cstheme="minorBidi"/>
        </w:rPr>
        <w:t>id</w:t>
      </w:r>
      <w:r w:rsidRPr="752CD64A">
        <w:rPr>
          <w:rFonts w:asciiTheme="minorHAnsi" w:hAnsiTheme="minorHAnsi" w:cstheme="minorBidi"/>
        </w:rPr>
        <w:t xml:space="preserve"> </w:t>
      </w:r>
      <w:r>
        <w:rPr>
          <w:rFonts w:asciiTheme="minorHAnsi" w:hAnsiTheme="minorHAnsi" w:cstheme="minorBidi"/>
        </w:rPr>
        <w:t xml:space="preserve">33-36. </w:t>
      </w:r>
      <w:bookmarkStart w:id="2" w:name="_Hlk201807433"/>
      <w:r>
        <w:rPr>
          <w:rFonts w:asciiTheme="minorHAnsi" w:hAnsiTheme="minorHAnsi" w:cstheme="minorBidi"/>
        </w:rPr>
        <w:t xml:space="preserve"> </w:t>
      </w:r>
    </w:p>
    <w:p w14:paraId="58B48AAB" w14:textId="77777777" w:rsidR="00B731C3" w:rsidRDefault="00B731C3" w:rsidP="00B731C3">
      <w:pPr>
        <w:pStyle w:val="muudetavtekst"/>
        <w:rPr>
          <w:rFonts w:asciiTheme="minorHAnsi" w:hAnsiTheme="minorHAnsi" w:cstheme="minorBidi"/>
        </w:rPr>
      </w:pPr>
      <w:r>
        <w:rPr>
          <w:rFonts w:asciiTheme="minorHAnsi" w:hAnsiTheme="minorHAnsi" w:cstheme="minorBidi"/>
        </w:rPr>
        <w:t xml:space="preserve">Punktiga 33 võetakse üle direktiivi artikkel 2 punkt 54, mõiste „huvide lahknemine“, </w:t>
      </w:r>
      <w:r w:rsidRPr="752CD64A">
        <w:rPr>
          <w:rFonts w:asciiTheme="minorHAnsi" w:hAnsiTheme="minorHAnsi" w:cstheme="minorBidi"/>
        </w:rPr>
        <w:t>mis sätestab kohustuste ja huvide õiglase lahknemise näiteks omanike ja üürnike vahel.</w:t>
      </w:r>
    </w:p>
    <w:bookmarkEnd w:id="2"/>
    <w:p w14:paraId="2138B8BC" w14:textId="77777777" w:rsidR="00B731C3" w:rsidRPr="00194F23" w:rsidRDefault="00B731C3" w:rsidP="00B731C3">
      <w:pPr>
        <w:pStyle w:val="muudetavtekst"/>
        <w:rPr>
          <w:rFonts w:asciiTheme="minorHAnsi" w:hAnsiTheme="minorHAnsi" w:cstheme="minorBidi"/>
          <w:b/>
        </w:rPr>
      </w:pPr>
      <w:r>
        <w:rPr>
          <w:rFonts w:asciiTheme="minorHAnsi" w:hAnsiTheme="minorHAnsi" w:cstheme="minorBidi"/>
        </w:rPr>
        <w:t xml:space="preserve">Punktiga 34 võetakse üle direktiivi artikkel 55, mõiste </w:t>
      </w:r>
      <w:r w:rsidRPr="7D3FF029">
        <w:rPr>
          <w:rFonts w:asciiTheme="minorHAnsi" w:hAnsiTheme="minorHAnsi" w:cstheme="minorBidi"/>
        </w:rPr>
        <w:t xml:space="preserve">„kaasamisstrateegia“ </w:t>
      </w:r>
      <w:r>
        <w:rPr>
          <w:rFonts w:asciiTheme="minorHAnsi" w:hAnsiTheme="minorHAnsi" w:cstheme="minorBidi"/>
        </w:rPr>
        <w:t>–</w:t>
      </w:r>
      <w:r w:rsidRPr="7D3FF029">
        <w:rPr>
          <w:rFonts w:asciiTheme="minorHAnsi" w:hAnsiTheme="minorHAnsi" w:cstheme="minorBidi"/>
        </w:rPr>
        <w:t xml:space="preserve"> strateegia, millega seatakse eesmärgid, töötatakse välja </w:t>
      </w:r>
      <w:r w:rsidRPr="00731319">
        <w:rPr>
          <w:rFonts w:asciiTheme="minorHAnsi" w:hAnsiTheme="minorHAnsi" w:cstheme="minorBidi"/>
        </w:rPr>
        <w:t>tehnikad</w:t>
      </w:r>
      <w:r>
        <w:rPr>
          <w:rFonts w:asciiTheme="minorHAnsi" w:hAnsiTheme="minorHAnsi" w:cstheme="minorBidi"/>
        </w:rPr>
        <w:t xml:space="preserve"> </w:t>
      </w:r>
      <w:r w:rsidRPr="00EB3C91">
        <w:rPr>
          <w:rFonts w:asciiTheme="minorHAnsi" w:hAnsiTheme="minorHAnsi" w:cstheme="minorBidi"/>
        </w:rPr>
        <w:t>j</w:t>
      </w:r>
      <w:r w:rsidRPr="7D3FF029">
        <w:rPr>
          <w:rFonts w:asciiTheme="minorHAnsi" w:hAnsiTheme="minorHAnsi" w:cstheme="minorBidi"/>
        </w:rPr>
        <w:t>a määratakse kindlaks protsess, mille abil kaasata poliitika kujundamisse kõik asjaomased riikliku või kohaliku tasandi sidusrühmad, sealhulgas kodanikuühiskonna esindajad, näiteks tarbijaorganisatsioonid, e</w:t>
      </w:r>
      <w:r>
        <w:rPr>
          <w:rFonts w:asciiTheme="minorHAnsi" w:hAnsiTheme="minorHAnsi" w:cstheme="minorBidi"/>
        </w:rPr>
        <w:t>t</w:t>
      </w:r>
      <w:r w:rsidRPr="7D3FF029">
        <w:rPr>
          <w:rFonts w:asciiTheme="minorHAnsi" w:hAnsiTheme="minorHAnsi" w:cstheme="minorBidi"/>
        </w:rPr>
        <w:t xml:space="preserve"> suurendada teadlikkust, saada selle poliitika kohta tagasisidet ja soodustada selle tunnustamist üldsuse poolt.</w:t>
      </w:r>
    </w:p>
    <w:p w14:paraId="1813CC61" w14:textId="77777777" w:rsidR="00B731C3" w:rsidRDefault="00B731C3" w:rsidP="00B731C3">
      <w:pPr>
        <w:pStyle w:val="muudetavtekst"/>
        <w:rPr>
          <w:rFonts w:asciiTheme="minorHAnsi" w:hAnsiTheme="minorHAnsi" w:cstheme="minorBidi"/>
        </w:rPr>
      </w:pPr>
      <w:r w:rsidRPr="00731319">
        <w:rPr>
          <w:rFonts w:asciiTheme="minorHAnsi" w:hAnsiTheme="minorHAnsi" w:cstheme="minorHAnsi"/>
        </w:rPr>
        <w:t>Punktiga 35 võetakse üle direktiivi artikkel 2 punkt 56 mõiste</w:t>
      </w:r>
      <w:r>
        <w:rPr>
          <w:rFonts w:asciiTheme="minorHAnsi" w:hAnsiTheme="minorHAnsi" w:cstheme="minorHAnsi"/>
          <w:b/>
          <w:bCs/>
        </w:rPr>
        <w:t xml:space="preserve"> </w:t>
      </w:r>
      <w:r w:rsidRPr="00B877A6">
        <w:rPr>
          <w:rFonts w:asciiTheme="minorHAnsi" w:hAnsiTheme="minorHAnsi" w:cstheme="minorBidi"/>
        </w:rPr>
        <w:t>„</w:t>
      </w:r>
      <w:r w:rsidRPr="00B877A6">
        <w:t>energiatõhususe</w:t>
      </w:r>
      <w:r w:rsidRPr="4AD5EEDC">
        <w:t xml:space="preserve"> parandamise meetmete statistiliselt oluline osa ja representatiivne valim</w:t>
      </w:r>
      <w:r w:rsidRPr="1FD60165">
        <w:rPr>
          <w:rFonts w:asciiTheme="minorHAnsi" w:hAnsiTheme="minorHAnsi" w:cstheme="minorBidi"/>
        </w:rPr>
        <w:t>“</w:t>
      </w:r>
      <w:r>
        <w:rPr>
          <w:rFonts w:asciiTheme="minorHAnsi" w:hAnsiTheme="minorHAnsi" w:cstheme="minorBidi"/>
        </w:rPr>
        <w:t>.</w:t>
      </w:r>
      <w:r w:rsidRPr="00F93DC7">
        <w:t xml:space="preserve"> </w:t>
      </w:r>
      <w:r>
        <w:rPr>
          <w:rFonts w:asciiTheme="minorHAnsi" w:hAnsiTheme="minorHAnsi" w:cstheme="minorBidi"/>
        </w:rPr>
        <w:t xml:space="preserve">Siin mõistetakse </w:t>
      </w:r>
      <w:r w:rsidRPr="1FD60165">
        <w:rPr>
          <w:rFonts w:asciiTheme="minorHAnsi" w:hAnsiTheme="minorHAnsi" w:cstheme="minorBidi"/>
        </w:rPr>
        <w:t>selli</w:t>
      </w:r>
      <w:r>
        <w:rPr>
          <w:rFonts w:asciiTheme="minorHAnsi" w:hAnsiTheme="minorHAnsi" w:cstheme="minorBidi"/>
        </w:rPr>
        <w:t>st</w:t>
      </w:r>
      <w:r w:rsidRPr="1FD60165">
        <w:rPr>
          <w:rFonts w:asciiTheme="minorHAnsi" w:hAnsiTheme="minorHAnsi" w:cstheme="minorBidi"/>
        </w:rPr>
        <w:t xml:space="preserve"> osa ja valim</w:t>
      </w:r>
      <w:r>
        <w:rPr>
          <w:rFonts w:asciiTheme="minorHAnsi" w:hAnsiTheme="minorHAnsi" w:cstheme="minorBidi"/>
        </w:rPr>
        <w:t>it</w:t>
      </w:r>
      <w:r w:rsidRPr="1FD60165">
        <w:rPr>
          <w:rFonts w:asciiTheme="minorHAnsi" w:hAnsiTheme="minorHAnsi" w:cstheme="minorBidi"/>
        </w:rPr>
        <w:t>, mis nõuab asjaomaste energiasäästumeetmete statistilise andmekogumi rühma loomist nii, et see kajastaks kõikide energiasäästumeetmete üldkogumit ja võimaldaks teha põhjendatud järeldusi selliste meetmete võtmise usaldusväärsuse kohta</w:t>
      </w:r>
    </w:p>
    <w:p w14:paraId="4A947509" w14:textId="77777777" w:rsidR="00B731C3" w:rsidRDefault="00B731C3" w:rsidP="00B731C3">
      <w:pPr>
        <w:pStyle w:val="muudetavtekst"/>
        <w:rPr>
          <w:rFonts w:asciiTheme="minorHAnsi" w:hAnsiTheme="minorHAnsi" w:cstheme="minorBidi"/>
        </w:rPr>
      </w:pPr>
      <w:r>
        <w:rPr>
          <w:rFonts w:asciiTheme="minorHAnsi" w:hAnsiTheme="minorHAnsi" w:cstheme="minorBidi"/>
        </w:rPr>
        <w:t xml:space="preserve">Punktiga 36 lisatakse mõiste „relvajõud“ - </w:t>
      </w:r>
      <w:r w:rsidRPr="490A73E8">
        <w:rPr>
          <w:rFonts w:asciiTheme="minorHAnsi" w:hAnsiTheme="minorHAnsi" w:cstheme="minorBidi"/>
        </w:rPr>
        <w:t xml:space="preserve">selle all mõistetakse Kaitseväge </w:t>
      </w:r>
      <w:r>
        <w:rPr>
          <w:rFonts w:asciiTheme="minorHAnsi" w:hAnsiTheme="minorHAnsi" w:cstheme="minorBidi"/>
        </w:rPr>
        <w:t>k</w:t>
      </w:r>
      <w:r w:rsidRPr="490A73E8">
        <w:rPr>
          <w:rFonts w:asciiTheme="minorHAnsi" w:hAnsiTheme="minorHAnsi" w:cstheme="minorBidi"/>
        </w:rPr>
        <w:t>aitseväe korralduse seaduse § 2 l</w:t>
      </w:r>
      <w:r>
        <w:rPr>
          <w:rFonts w:asciiTheme="minorHAnsi" w:hAnsiTheme="minorHAnsi" w:cstheme="minorBidi"/>
        </w:rPr>
        <w:t>õike</w:t>
      </w:r>
      <w:r w:rsidRPr="490A73E8">
        <w:rPr>
          <w:rFonts w:asciiTheme="minorHAnsi" w:hAnsiTheme="minorHAnsi" w:cstheme="minorBidi"/>
        </w:rPr>
        <w:t xml:space="preserve"> 1 tähenduses ja Kaitseliitu kaitseliidu seaduse § 2 l</w:t>
      </w:r>
      <w:r>
        <w:rPr>
          <w:rFonts w:asciiTheme="minorHAnsi" w:hAnsiTheme="minorHAnsi" w:cstheme="minorBidi"/>
        </w:rPr>
        <w:t>õike</w:t>
      </w:r>
      <w:r w:rsidRPr="490A73E8">
        <w:rPr>
          <w:rFonts w:asciiTheme="minorHAnsi" w:hAnsiTheme="minorHAnsi" w:cstheme="minorBidi"/>
        </w:rPr>
        <w:t xml:space="preserve"> 1 tähenduses. Mõiste ei kajastu direktiivis, kuid direktiiv annab relvajõududele erandeid, olgu selleks nii energia kokkuhoiu kohustus kui ka hoonete energiatõhususe miinimumnõuded. Selguse huvides </w:t>
      </w:r>
      <w:r>
        <w:rPr>
          <w:rFonts w:asciiTheme="minorHAnsi" w:hAnsiTheme="minorHAnsi" w:cstheme="minorBidi"/>
        </w:rPr>
        <w:t>sätestatakse</w:t>
      </w:r>
      <w:r w:rsidRPr="490A73E8">
        <w:rPr>
          <w:rFonts w:asciiTheme="minorHAnsi" w:hAnsiTheme="minorHAnsi" w:cstheme="minorBidi"/>
        </w:rPr>
        <w:t xml:space="preserve"> seaduses eraldi mõiste.</w:t>
      </w:r>
    </w:p>
    <w:p w14:paraId="3C5AC545" w14:textId="77777777" w:rsidR="00B731C3" w:rsidRPr="003643B0" w:rsidRDefault="00B731C3" w:rsidP="00B731C3">
      <w:pPr>
        <w:pStyle w:val="muudetavtekst"/>
        <w:rPr>
          <w:rFonts w:asciiTheme="minorHAnsi" w:hAnsiTheme="minorHAnsi" w:cstheme="minorBidi"/>
        </w:rPr>
      </w:pPr>
    </w:p>
    <w:p w14:paraId="014EAA3B" w14:textId="77777777" w:rsidR="00B731C3" w:rsidRPr="00876A95" w:rsidRDefault="00B731C3" w:rsidP="00B731C3">
      <w:pPr>
        <w:pStyle w:val="muudetavtekst"/>
        <w:rPr>
          <w:rFonts w:asciiTheme="minorHAnsi" w:hAnsiTheme="minorHAnsi" w:cstheme="minorBidi"/>
          <w:bCs/>
        </w:rPr>
      </w:pPr>
      <w:r w:rsidRPr="560695E6">
        <w:rPr>
          <w:rFonts w:asciiTheme="minorHAnsi" w:hAnsiTheme="minorHAnsi" w:cstheme="minorBidi"/>
          <w:b/>
        </w:rPr>
        <w:t xml:space="preserve">Punktiga </w:t>
      </w:r>
      <w:r>
        <w:rPr>
          <w:rFonts w:asciiTheme="minorHAnsi" w:hAnsiTheme="minorHAnsi" w:cstheme="minorBidi"/>
          <w:b/>
        </w:rPr>
        <w:t>11</w:t>
      </w:r>
      <w:r w:rsidRPr="560695E6">
        <w:rPr>
          <w:rFonts w:asciiTheme="minorHAnsi" w:hAnsiTheme="minorHAnsi" w:cstheme="minorBidi"/>
          <w:b/>
        </w:rPr>
        <w:t xml:space="preserve"> </w:t>
      </w:r>
      <w:r w:rsidRPr="00876A95">
        <w:rPr>
          <w:rFonts w:asciiTheme="minorHAnsi" w:hAnsiTheme="minorHAnsi" w:cstheme="minorBidi"/>
          <w:bCs/>
        </w:rPr>
        <w:t>muudetakse seaduse 2. peatüki pealkiri</w:t>
      </w:r>
      <w:r>
        <w:rPr>
          <w:rFonts w:asciiTheme="minorHAnsi" w:hAnsiTheme="minorHAnsi" w:cstheme="minorBidi"/>
          <w:bCs/>
        </w:rPr>
        <w:t xml:space="preserve"> „Energiatõhususe esikohale seadmise põhimõte, riiklik energiatõhususe eesmärk ja valdkonna strateegitad“</w:t>
      </w:r>
      <w:r w:rsidRPr="00876A95">
        <w:rPr>
          <w:rFonts w:asciiTheme="minorHAnsi" w:hAnsiTheme="minorHAnsi" w:cstheme="minorBidi"/>
          <w:bCs/>
        </w:rPr>
        <w:t xml:space="preserve">. Uus pealkiri laiendab peatüki sisu, tuues sisse energiatõhususe esikohale seadmise põhimõtte.  </w:t>
      </w:r>
    </w:p>
    <w:p w14:paraId="41E55BD2" w14:textId="77777777" w:rsidR="00B731C3" w:rsidRDefault="00B731C3" w:rsidP="00B731C3">
      <w:pPr>
        <w:pStyle w:val="muudetavtekst"/>
        <w:rPr>
          <w:rFonts w:asciiTheme="minorHAnsi" w:hAnsiTheme="minorHAnsi" w:cstheme="minorHAnsi"/>
          <w:b/>
          <w:bCs/>
        </w:rPr>
      </w:pPr>
    </w:p>
    <w:p w14:paraId="17005E96" w14:textId="77777777" w:rsidR="00B731C3" w:rsidRDefault="00B731C3" w:rsidP="00B731C3">
      <w:pPr>
        <w:pStyle w:val="muudetavtekst"/>
        <w:rPr>
          <w:rFonts w:asciiTheme="minorHAnsi" w:hAnsiTheme="minorHAnsi" w:cstheme="minorBidi"/>
          <w:bCs/>
        </w:rPr>
      </w:pPr>
      <w:r>
        <w:rPr>
          <w:rFonts w:asciiTheme="minorHAnsi" w:hAnsiTheme="minorHAnsi" w:cstheme="minorHAnsi"/>
          <w:b/>
          <w:bCs/>
        </w:rPr>
        <w:t xml:space="preserve">Punktiga 12 </w:t>
      </w:r>
      <w:r w:rsidRPr="00876A95">
        <w:rPr>
          <w:rFonts w:asciiTheme="minorHAnsi" w:hAnsiTheme="minorHAnsi" w:cstheme="minorBidi"/>
          <w:bCs/>
        </w:rPr>
        <w:t>Peatükki laiendatakse 1. jaoga „ Energiatõhususe esikohale seadmise põhimõte“</w:t>
      </w:r>
      <w:r>
        <w:rPr>
          <w:rFonts w:asciiTheme="minorHAnsi" w:hAnsiTheme="minorHAnsi" w:cstheme="minorBidi"/>
          <w:bCs/>
        </w:rPr>
        <w:t>, mille alla lisatakse paragrahvid 2</w:t>
      </w:r>
      <w:r>
        <w:rPr>
          <w:rFonts w:asciiTheme="minorHAnsi" w:hAnsiTheme="minorHAnsi" w:cstheme="minorBidi"/>
          <w:bCs/>
          <w:vertAlign w:val="superscript"/>
        </w:rPr>
        <w:t>1</w:t>
      </w:r>
      <w:r>
        <w:rPr>
          <w:rFonts w:asciiTheme="minorHAnsi" w:hAnsiTheme="minorHAnsi" w:cstheme="minorBidi"/>
          <w:bCs/>
        </w:rPr>
        <w:t>-2</w:t>
      </w:r>
      <w:r>
        <w:rPr>
          <w:rFonts w:asciiTheme="minorHAnsi" w:hAnsiTheme="minorHAnsi" w:cstheme="minorBidi"/>
          <w:bCs/>
          <w:vertAlign w:val="superscript"/>
        </w:rPr>
        <w:t>5</w:t>
      </w:r>
      <w:r>
        <w:rPr>
          <w:rFonts w:asciiTheme="minorHAnsi" w:hAnsiTheme="minorHAnsi" w:cstheme="minorBidi"/>
          <w:bCs/>
        </w:rPr>
        <w:t xml:space="preserve">. Uute paragrahvidega võetakse üle direktiivi artikkel 3. </w:t>
      </w:r>
    </w:p>
    <w:p w14:paraId="04395086" w14:textId="77777777" w:rsidR="00B731C3" w:rsidRDefault="00B731C3" w:rsidP="00B731C3">
      <w:pPr>
        <w:pStyle w:val="muudetavtekst"/>
        <w:rPr>
          <w:rFonts w:asciiTheme="minorHAnsi" w:hAnsiTheme="minorHAnsi" w:cstheme="minorBidi"/>
          <w:bCs/>
        </w:rPr>
      </w:pPr>
      <w:r>
        <w:rPr>
          <w:rFonts w:asciiTheme="minorHAnsi" w:hAnsiTheme="minorHAnsi" w:cstheme="minorBidi"/>
          <w:bCs/>
        </w:rPr>
        <w:t>Paragrahviga 2</w:t>
      </w:r>
      <w:r>
        <w:rPr>
          <w:rFonts w:asciiTheme="minorHAnsi" w:hAnsiTheme="minorHAnsi" w:cstheme="minorBidi"/>
          <w:bCs/>
          <w:vertAlign w:val="superscript"/>
        </w:rPr>
        <w:t>1</w:t>
      </w:r>
      <w:r>
        <w:rPr>
          <w:rFonts w:asciiTheme="minorHAnsi" w:hAnsiTheme="minorHAnsi" w:cstheme="minorBidi"/>
          <w:bCs/>
        </w:rPr>
        <w:t xml:space="preserve"> sätestab energiatõhususe esikohale seadmise põhimõtte, mis see on ja mida selle all arvestatakse. </w:t>
      </w:r>
    </w:p>
    <w:p w14:paraId="25D2E8B7" w14:textId="77777777" w:rsidR="00B731C3" w:rsidRDefault="00B731C3" w:rsidP="00B731C3">
      <w:pPr>
        <w:pStyle w:val="muudetavtekst"/>
        <w:rPr>
          <w:rFonts w:asciiTheme="minorHAnsi" w:hAnsiTheme="minorHAnsi" w:cstheme="minorBidi"/>
          <w:bCs/>
        </w:rPr>
      </w:pPr>
      <w:r>
        <w:rPr>
          <w:rFonts w:asciiTheme="minorHAnsi" w:hAnsiTheme="minorHAnsi" w:cstheme="minorBidi"/>
          <w:bCs/>
        </w:rPr>
        <w:t xml:space="preserve"> </w:t>
      </w:r>
    </w:p>
    <w:p w14:paraId="27368BA0" w14:textId="77777777" w:rsidR="00B731C3" w:rsidRDefault="00B731C3" w:rsidP="00B731C3">
      <w:pPr>
        <w:pStyle w:val="muudetavtekst"/>
        <w:rPr>
          <w:rFonts w:asciiTheme="minorHAnsi" w:hAnsiTheme="minorHAnsi" w:cstheme="minorBidi"/>
        </w:rPr>
      </w:pPr>
      <w:r>
        <w:rPr>
          <w:rFonts w:asciiTheme="minorHAnsi" w:hAnsiTheme="minorHAnsi" w:cstheme="minorBidi"/>
          <w:bCs/>
        </w:rPr>
        <w:t>Paragrahv 2</w:t>
      </w:r>
      <w:r>
        <w:rPr>
          <w:rFonts w:asciiTheme="minorHAnsi" w:hAnsiTheme="minorHAnsi" w:cstheme="minorBidi"/>
          <w:bCs/>
          <w:vertAlign w:val="superscript"/>
        </w:rPr>
        <w:t>1</w:t>
      </w:r>
      <w:r>
        <w:rPr>
          <w:rFonts w:asciiTheme="minorHAnsi" w:hAnsiTheme="minorHAnsi" w:cstheme="minorBidi"/>
          <w:bCs/>
        </w:rPr>
        <w:t xml:space="preserve"> lõige 1 sätestab </w:t>
      </w:r>
      <w:r w:rsidRPr="2BC6FC14">
        <w:rPr>
          <w:rFonts w:asciiTheme="minorHAnsi" w:hAnsiTheme="minorHAnsi" w:cstheme="minorBidi"/>
        </w:rPr>
        <w:t xml:space="preserve">et otsuste puhul, mis ületavad </w:t>
      </w:r>
      <w:r w:rsidRPr="06DF73B4">
        <w:rPr>
          <w:rFonts w:asciiTheme="minorHAnsi" w:hAnsiTheme="minorHAnsi" w:cstheme="minorBidi"/>
        </w:rPr>
        <w:t>rahalisi</w:t>
      </w:r>
      <w:r w:rsidRPr="2BC6FC14">
        <w:rPr>
          <w:rFonts w:asciiTheme="minorHAnsi" w:hAnsiTheme="minorHAnsi" w:cstheme="minorBidi"/>
        </w:rPr>
        <w:t xml:space="preserve"> piirmäärasid</w:t>
      </w:r>
      <w:r w:rsidRPr="53A8AD08">
        <w:rPr>
          <w:rFonts w:asciiTheme="minorHAnsi" w:hAnsiTheme="minorHAnsi" w:cstheme="minorBidi"/>
        </w:rPr>
        <w:t>,</w:t>
      </w:r>
      <w:r w:rsidRPr="2BC6FC14">
        <w:rPr>
          <w:rFonts w:asciiTheme="minorHAnsi" w:hAnsiTheme="minorHAnsi" w:cstheme="minorBidi"/>
        </w:rPr>
        <w:t xml:space="preserve"> tuleb kavandamis-, poliitika- ja investeerimisotsustes alati hinnata energiatõhususe põhimõtteid. </w:t>
      </w:r>
      <w:r w:rsidRPr="51442A17">
        <w:rPr>
          <w:rFonts w:asciiTheme="minorHAnsi" w:hAnsiTheme="minorHAnsi" w:cstheme="minorBidi"/>
        </w:rPr>
        <w:t>Piirmäärad transporditaristule on alates</w:t>
      </w:r>
      <w:r w:rsidRPr="2BC6FC14">
        <w:rPr>
          <w:rFonts w:asciiTheme="minorHAnsi" w:hAnsiTheme="minorHAnsi" w:cstheme="minorBidi"/>
        </w:rPr>
        <w:t xml:space="preserve"> 175 </w:t>
      </w:r>
      <w:r w:rsidRPr="51442A17">
        <w:rPr>
          <w:rFonts w:asciiTheme="minorHAnsi" w:hAnsiTheme="minorHAnsi" w:cstheme="minorBidi"/>
        </w:rPr>
        <w:t>miljonist eurost</w:t>
      </w:r>
      <w:r w:rsidRPr="2BC6FC14">
        <w:rPr>
          <w:rFonts w:asciiTheme="minorHAnsi" w:hAnsiTheme="minorHAnsi" w:cstheme="minorBidi"/>
        </w:rPr>
        <w:t xml:space="preserve">, teiste investeeringute puhul 100 </w:t>
      </w:r>
      <w:r w:rsidRPr="23C051BE">
        <w:rPr>
          <w:rFonts w:asciiTheme="minorHAnsi" w:hAnsiTheme="minorHAnsi" w:cstheme="minorBidi"/>
        </w:rPr>
        <w:t>miljonit</w:t>
      </w:r>
      <w:r w:rsidRPr="2BC6FC14">
        <w:rPr>
          <w:rFonts w:asciiTheme="minorHAnsi" w:hAnsiTheme="minorHAnsi" w:cstheme="minorBidi"/>
        </w:rPr>
        <w:t xml:space="preserve"> eurot. Eriti on see oluline otsuste puhul</w:t>
      </w:r>
      <w:r w:rsidRPr="3BC4EDD4">
        <w:rPr>
          <w:rFonts w:asciiTheme="minorHAnsi" w:hAnsiTheme="minorHAnsi" w:cstheme="minorBidi"/>
        </w:rPr>
        <w:t>,</w:t>
      </w:r>
      <w:r w:rsidRPr="2BC6FC14">
        <w:rPr>
          <w:rFonts w:asciiTheme="minorHAnsi" w:hAnsiTheme="minorHAnsi" w:cstheme="minorBidi"/>
        </w:rPr>
        <w:t xml:space="preserve"> mis puudutavad energiasüsteeme</w:t>
      </w:r>
      <w:r>
        <w:rPr>
          <w:rFonts w:asciiTheme="minorHAnsi" w:hAnsiTheme="minorHAnsi" w:cstheme="minorBidi"/>
        </w:rPr>
        <w:t>,</w:t>
      </w:r>
      <w:r w:rsidRPr="2BC6FC14">
        <w:rPr>
          <w:rFonts w:asciiTheme="minorHAnsi" w:hAnsiTheme="minorHAnsi" w:cstheme="minorBidi"/>
        </w:rPr>
        <w:t xml:space="preserve"> aga ka energiatarbimist mõjutava</w:t>
      </w:r>
      <w:r>
        <w:rPr>
          <w:rFonts w:asciiTheme="minorHAnsi" w:hAnsiTheme="minorHAnsi" w:cstheme="minorBidi"/>
        </w:rPr>
        <w:t>i</w:t>
      </w:r>
      <w:r w:rsidRPr="2BC6FC14">
        <w:rPr>
          <w:rFonts w:asciiTheme="minorHAnsi" w:hAnsiTheme="minorHAnsi" w:cstheme="minorBidi"/>
        </w:rPr>
        <w:t>d sektor</w:t>
      </w:r>
      <w:r>
        <w:rPr>
          <w:rFonts w:asciiTheme="minorHAnsi" w:hAnsiTheme="minorHAnsi" w:cstheme="minorBidi"/>
        </w:rPr>
        <w:t>e</w:t>
      </w:r>
      <w:r w:rsidRPr="2BC6FC14">
        <w:rPr>
          <w:rFonts w:asciiTheme="minorHAnsi" w:hAnsiTheme="minorHAnsi" w:cstheme="minorBidi"/>
        </w:rPr>
        <w:t>id</w:t>
      </w:r>
      <w:r>
        <w:rPr>
          <w:rFonts w:asciiTheme="minorHAnsi" w:hAnsiTheme="minorHAnsi" w:cstheme="minorBidi"/>
        </w:rPr>
        <w:t>,</w:t>
      </w:r>
      <w:r w:rsidRPr="2BC6FC14">
        <w:rPr>
          <w:rFonts w:asciiTheme="minorHAnsi" w:hAnsiTheme="minorHAnsi" w:cstheme="minorBidi"/>
        </w:rPr>
        <w:t xml:space="preserve"> nagu hooned (nt uued arendused või kvartalipõhised rekonstrueerimised), transport (terminalid, sadamad, maanteed jt), veekäitlus (eelkõige reovee puhastamine</w:t>
      </w:r>
      <w:r w:rsidRPr="7D694373">
        <w:rPr>
          <w:rFonts w:asciiTheme="minorHAnsi" w:hAnsiTheme="minorHAnsi" w:cstheme="minorBidi"/>
        </w:rPr>
        <w:t>,</w:t>
      </w:r>
      <w:r w:rsidRPr="2BC6FC14">
        <w:rPr>
          <w:rFonts w:asciiTheme="minorHAnsi" w:hAnsiTheme="minorHAnsi" w:cstheme="minorBidi"/>
        </w:rPr>
        <w:t xml:space="preserve"> kus on kõige suuremad energiakasutuse mahud), info- ja kommunikatsioonitehnoloogia (andmekeskused), põllumajandus ja finantssektor.</w:t>
      </w:r>
      <w:r>
        <w:rPr>
          <w:rFonts w:asciiTheme="minorHAnsi" w:hAnsiTheme="minorHAnsi" w:cstheme="minorBidi"/>
        </w:rPr>
        <w:t xml:space="preserve"> Võetakse üle direktiivi artikkel 3 lõige 1.</w:t>
      </w:r>
    </w:p>
    <w:p w14:paraId="7297361D" w14:textId="77777777" w:rsidR="00B731C3" w:rsidRDefault="00B731C3" w:rsidP="00B731C3">
      <w:pPr>
        <w:pStyle w:val="muudetavtekst"/>
        <w:rPr>
          <w:rFonts w:asciiTheme="minorHAnsi" w:hAnsiTheme="minorHAnsi" w:cstheme="minorBidi"/>
        </w:rPr>
      </w:pPr>
    </w:p>
    <w:p w14:paraId="2E03F132" w14:textId="77777777" w:rsidR="00B731C3" w:rsidRDefault="00B731C3" w:rsidP="00B731C3">
      <w:pPr>
        <w:pStyle w:val="muudetavtekst"/>
        <w:rPr>
          <w:rFonts w:asciiTheme="minorHAnsi" w:hAnsiTheme="minorHAnsi" w:cstheme="minorBidi"/>
        </w:rPr>
      </w:pPr>
      <w:r>
        <w:rPr>
          <w:rFonts w:asciiTheme="minorHAnsi" w:hAnsiTheme="minorHAnsi" w:cstheme="minorBidi"/>
        </w:rPr>
        <w:lastRenderedPageBreak/>
        <w:t>Paragrahvi 2</w:t>
      </w:r>
      <w:r>
        <w:rPr>
          <w:rFonts w:asciiTheme="minorHAnsi" w:hAnsiTheme="minorHAnsi" w:cstheme="minorBidi"/>
          <w:vertAlign w:val="superscript"/>
        </w:rPr>
        <w:t>1</w:t>
      </w:r>
      <w:r>
        <w:rPr>
          <w:rFonts w:asciiTheme="minorHAnsi" w:hAnsiTheme="minorHAnsi" w:cstheme="minorBidi"/>
        </w:rPr>
        <w:t xml:space="preserve"> lõige 2 sätestab Euroopa Komisjoni soovituse</w:t>
      </w:r>
      <w:r>
        <w:rPr>
          <w:rStyle w:val="Allmrkuseviide"/>
          <w:rFonts w:asciiTheme="minorHAnsi" w:hAnsiTheme="minorHAnsi" w:cstheme="minorBidi"/>
        </w:rPr>
        <w:footnoteReference w:id="15"/>
      </w:r>
      <w:r>
        <w:rPr>
          <w:rFonts w:asciiTheme="minorHAnsi" w:hAnsiTheme="minorHAnsi" w:cstheme="minorBidi"/>
        </w:rPr>
        <w:t xml:space="preserve"> mida tuleb kavandamis-, poliitika ja investeerimisotsuste eristamisel ning energiaga mitteseotud määratlemisel arvesse võtta. </w:t>
      </w:r>
    </w:p>
    <w:p w14:paraId="6848CBFA" w14:textId="77777777" w:rsidR="00B731C3" w:rsidRDefault="00B731C3" w:rsidP="00B731C3">
      <w:pPr>
        <w:pStyle w:val="muudetavtekst"/>
        <w:rPr>
          <w:rFonts w:asciiTheme="minorHAnsi" w:hAnsiTheme="minorHAnsi" w:cstheme="minorBidi"/>
        </w:rPr>
      </w:pPr>
    </w:p>
    <w:p w14:paraId="4BC6143B" w14:textId="77777777" w:rsidR="00B731C3" w:rsidRDefault="00B731C3" w:rsidP="00B731C3">
      <w:pPr>
        <w:pStyle w:val="muudetavtekst"/>
        <w:rPr>
          <w:rFonts w:asciiTheme="minorHAnsi" w:hAnsiTheme="minorHAnsi" w:cstheme="minorBidi"/>
        </w:rPr>
      </w:pPr>
      <w:r>
        <w:rPr>
          <w:rFonts w:asciiTheme="minorHAnsi" w:hAnsiTheme="minorHAnsi" w:cstheme="minorBidi"/>
        </w:rPr>
        <w:t>Paragrahvi 2</w:t>
      </w:r>
      <w:r>
        <w:rPr>
          <w:rFonts w:asciiTheme="minorHAnsi" w:hAnsiTheme="minorHAnsi" w:cstheme="minorBidi"/>
          <w:vertAlign w:val="superscript"/>
        </w:rPr>
        <w:t>1</w:t>
      </w:r>
      <w:r>
        <w:rPr>
          <w:rFonts w:asciiTheme="minorHAnsi" w:hAnsiTheme="minorHAnsi" w:cstheme="minorBidi"/>
        </w:rPr>
        <w:t xml:space="preserve"> lõige 3 sätestab et kõik avaliku sektori asutused kes oma poliitika, planeerimis- ja investeerimisotsuste suhtes kohaldavad heakskiitmise ja järelevalve nõudeid, jälgivad energiatõhususe esikohale seadmise põhimõtte kohaldamist, sealhulgas asjakohasel juhul sektorite (tööstus, energiavõrgud jms) lõimimist ja sektorite ülest mõju. </w:t>
      </w:r>
    </w:p>
    <w:p w14:paraId="0902F02E" w14:textId="77777777" w:rsidR="00B731C3" w:rsidRDefault="00B731C3" w:rsidP="00B731C3">
      <w:pPr>
        <w:pStyle w:val="muudetavtekst"/>
        <w:rPr>
          <w:rFonts w:asciiTheme="minorHAnsi" w:hAnsiTheme="minorHAnsi" w:cstheme="minorBidi"/>
        </w:rPr>
      </w:pPr>
    </w:p>
    <w:p w14:paraId="50C4D8E5" w14:textId="77777777" w:rsidR="00B731C3" w:rsidRDefault="00B731C3" w:rsidP="00B731C3">
      <w:pPr>
        <w:pStyle w:val="muudetavtekst"/>
        <w:rPr>
          <w:rFonts w:asciiTheme="minorHAnsi" w:hAnsiTheme="minorHAnsi" w:cstheme="minorBidi"/>
        </w:rPr>
      </w:pPr>
      <w:r>
        <w:rPr>
          <w:rFonts w:asciiTheme="minorHAnsi" w:hAnsiTheme="minorHAnsi" w:cstheme="minorBidi"/>
        </w:rPr>
        <w:t>Paragrahvi 2</w:t>
      </w:r>
      <w:r>
        <w:rPr>
          <w:rFonts w:asciiTheme="minorHAnsi" w:hAnsiTheme="minorHAnsi" w:cstheme="minorBidi"/>
          <w:vertAlign w:val="superscript"/>
        </w:rPr>
        <w:t>1</w:t>
      </w:r>
      <w:r>
        <w:rPr>
          <w:rFonts w:asciiTheme="minorHAnsi" w:hAnsiTheme="minorHAnsi" w:cstheme="minorBidi"/>
        </w:rPr>
        <w:t xml:space="preserve"> lõige 4 sätestab et energiatõhususe esikohale seadmise põhimõtte rakendamise koordinaator on Kliimaministeerium, kes koordineerib teavitustööd ja metoodikate (näiteks kulu-tulu analüüsi metoodikad) väljatöötamist põhimõtte jälgimiseks. </w:t>
      </w:r>
    </w:p>
    <w:p w14:paraId="2AC1AE45" w14:textId="77777777" w:rsidR="00B731C3" w:rsidRDefault="00B731C3" w:rsidP="00B731C3">
      <w:pPr>
        <w:pStyle w:val="muudetavtekst"/>
        <w:rPr>
          <w:rFonts w:asciiTheme="minorHAnsi" w:hAnsiTheme="minorHAnsi" w:cstheme="minorBidi"/>
        </w:rPr>
      </w:pPr>
    </w:p>
    <w:p w14:paraId="6347682D" w14:textId="77777777" w:rsidR="00B731C3" w:rsidRDefault="00B731C3" w:rsidP="00B731C3">
      <w:pPr>
        <w:pStyle w:val="muudetavtekst"/>
        <w:rPr>
          <w:rFonts w:asciiTheme="minorHAnsi" w:hAnsiTheme="minorHAnsi" w:cstheme="minorBidi"/>
        </w:rPr>
      </w:pPr>
      <w:r>
        <w:rPr>
          <w:rFonts w:asciiTheme="minorHAnsi" w:hAnsiTheme="minorHAnsi" w:cstheme="minorBidi"/>
        </w:rPr>
        <w:t>Paragrahviga 2</w:t>
      </w:r>
      <w:r>
        <w:rPr>
          <w:rFonts w:asciiTheme="minorHAnsi" w:hAnsiTheme="minorHAnsi" w:cstheme="minorBidi"/>
          <w:vertAlign w:val="superscript"/>
        </w:rPr>
        <w:t>2</w:t>
      </w:r>
      <w:r>
        <w:rPr>
          <w:rFonts w:asciiTheme="minorHAnsi" w:hAnsiTheme="minorHAnsi" w:cstheme="minorBidi"/>
        </w:rPr>
        <w:t xml:space="preserve"> sätestatakse enrgiatõhususe esikohale põhimõttega seotud lahenduste hindamise ja rakendamise nõuded.  </w:t>
      </w:r>
    </w:p>
    <w:p w14:paraId="457481C1" w14:textId="77777777" w:rsidR="00B731C3" w:rsidRDefault="00B731C3" w:rsidP="00B731C3">
      <w:pPr>
        <w:pStyle w:val="muudetavtekst"/>
        <w:rPr>
          <w:rFonts w:asciiTheme="minorHAnsi" w:hAnsiTheme="minorHAnsi" w:cstheme="minorBidi"/>
        </w:rPr>
      </w:pPr>
    </w:p>
    <w:p w14:paraId="21A2A92C" w14:textId="77777777" w:rsidR="00B731C3" w:rsidRDefault="00B731C3" w:rsidP="00B731C3">
      <w:pPr>
        <w:pStyle w:val="muudetavtekst"/>
        <w:rPr>
          <w:rFonts w:asciiTheme="minorHAnsi" w:hAnsiTheme="minorHAnsi" w:cstheme="minorBidi"/>
        </w:rPr>
      </w:pPr>
      <w:r>
        <w:rPr>
          <w:rFonts w:asciiTheme="minorHAnsi" w:hAnsiTheme="minorHAnsi" w:cstheme="minorBidi"/>
        </w:rPr>
        <w:t>Paragrahvi 2</w:t>
      </w:r>
      <w:r>
        <w:rPr>
          <w:rFonts w:asciiTheme="minorHAnsi" w:hAnsiTheme="minorHAnsi" w:cstheme="minorBidi"/>
          <w:vertAlign w:val="superscript"/>
        </w:rPr>
        <w:t>2</w:t>
      </w:r>
      <w:r>
        <w:rPr>
          <w:rFonts w:asciiTheme="minorHAnsi" w:hAnsiTheme="minorHAnsi" w:cstheme="minorBidi"/>
        </w:rPr>
        <w:t xml:space="preserve"> lõikega 1 sätestatakse et avaliku sektori asutuse otsuste tegemis- ja hindamisprotsessides tuleb hinnata kas planeeritavale investeeringule, laiendamisele vms eesmärgi saavutamiseks on kulutõhusaid energiatõhususe meetmeid, mis on sobilikud nii tehniliselt, majanduslikult kui ka keskkonnaohutuse seisukohast. Ehk otsuste protsessis tuleb hinnata kas eesmärgi saavutamiseks on alternatiivseid meetmeid, mis aitavad energiat kokku hoida ning mille investeering on soodsam ka pikas vaates kui uue seadme soetamine.  Parim näide siin on et selleks et küttekulusid leevendada ostetakse kohe suur soojuspump aga mõistlik oleks hinnata alternatiivina ka võimalikku hoone soojustamist ja väiksema soojuspumba soetamist. </w:t>
      </w:r>
    </w:p>
    <w:p w14:paraId="7840D193" w14:textId="77777777" w:rsidR="00B731C3" w:rsidRDefault="00B731C3" w:rsidP="00B731C3">
      <w:pPr>
        <w:pStyle w:val="muudetavtekst"/>
        <w:rPr>
          <w:rFonts w:asciiTheme="minorHAnsi" w:hAnsiTheme="minorHAnsi" w:cstheme="minorBidi"/>
        </w:rPr>
      </w:pPr>
    </w:p>
    <w:p w14:paraId="69B4F760" w14:textId="77777777" w:rsidR="00B731C3" w:rsidRPr="00E42673" w:rsidRDefault="00B731C3" w:rsidP="00B731C3">
      <w:pPr>
        <w:pStyle w:val="muudetavtekst"/>
        <w:rPr>
          <w:rFonts w:asciiTheme="minorHAnsi" w:hAnsiTheme="minorHAnsi" w:cstheme="minorBidi"/>
        </w:rPr>
      </w:pPr>
      <w:r>
        <w:rPr>
          <w:rFonts w:asciiTheme="minorHAnsi" w:hAnsiTheme="minorHAnsi" w:cstheme="minorBidi"/>
        </w:rPr>
        <w:t>Paragrahvi 2</w:t>
      </w:r>
      <w:r>
        <w:rPr>
          <w:rFonts w:asciiTheme="minorHAnsi" w:hAnsiTheme="minorHAnsi" w:cstheme="minorBidi"/>
          <w:vertAlign w:val="superscript"/>
        </w:rPr>
        <w:t>2</w:t>
      </w:r>
      <w:r>
        <w:rPr>
          <w:rFonts w:asciiTheme="minorHAnsi" w:hAnsiTheme="minorHAnsi" w:cstheme="minorBidi"/>
        </w:rPr>
        <w:t xml:space="preserve"> lõikega 2 sätestab hinnangu eesmärgi ja selle fikseerimise, et kas kaaluti enne otsuse tegemist alternatiivseid põhimõtteid, sh. nende kasutusele võttu esialgselt kavandatud meetme asemel.  </w:t>
      </w:r>
    </w:p>
    <w:p w14:paraId="5E830B32" w14:textId="77777777" w:rsidR="00B731C3" w:rsidRDefault="00B731C3" w:rsidP="00B731C3">
      <w:pPr>
        <w:pStyle w:val="muudetavtekst"/>
        <w:rPr>
          <w:rFonts w:asciiTheme="minorHAnsi" w:hAnsiTheme="minorHAnsi" w:cstheme="minorBidi"/>
        </w:rPr>
      </w:pPr>
    </w:p>
    <w:p w14:paraId="64515787" w14:textId="77777777" w:rsidR="00B731C3" w:rsidRDefault="00B731C3" w:rsidP="00B731C3">
      <w:pPr>
        <w:pStyle w:val="muudetavtekst"/>
        <w:rPr>
          <w:rFonts w:asciiTheme="minorHAnsi" w:hAnsiTheme="minorHAnsi" w:cstheme="minorBidi"/>
        </w:rPr>
      </w:pPr>
      <w:r>
        <w:rPr>
          <w:rFonts w:asciiTheme="minorHAnsi" w:hAnsiTheme="minorHAnsi" w:cstheme="minorBidi"/>
        </w:rPr>
        <w:t>Paragrahvi 2</w:t>
      </w:r>
      <w:r>
        <w:rPr>
          <w:rFonts w:asciiTheme="minorHAnsi" w:hAnsiTheme="minorHAnsi" w:cstheme="minorBidi"/>
          <w:vertAlign w:val="superscript"/>
        </w:rPr>
        <w:t>2</w:t>
      </w:r>
      <w:r>
        <w:rPr>
          <w:rFonts w:asciiTheme="minorHAnsi" w:hAnsiTheme="minorHAnsi" w:cstheme="minorBidi"/>
        </w:rPr>
        <w:t xml:space="preserve"> lõikega 3 sätestab, et hinnangu koostamisel tuleb muu hulgas arvesse võtta  Euroopa Komisjoni juba olemasolevast soovitusest</w:t>
      </w:r>
      <w:r>
        <w:rPr>
          <w:rFonts w:asciiTheme="minorHAnsi" w:hAnsiTheme="minorHAnsi" w:cstheme="minorBidi"/>
          <w:vertAlign w:val="superscript"/>
        </w:rPr>
        <w:t>14</w:t>
      </w:r>
      <w:r>
        <w:rPr>
          <w:rFonts w:asciiTheme="minorHAnsi" w:hAnsiTheme="minorHAnsi" w:cstheme="minorBidi"/>
        </w:rPr>
        <w:t xml:space="preserve">. </w:t>
      </w:r>
    </w:p>
    <w:p w14:paraId="1F97B222" w14:textId="77777777" w:rsidR="00B731C3" w:rsidRDefault="00B731C3" w:rsidP="00B731C3">
      <w:pPr>
        <w:pStyle w:val="muudetavtekst"/>
        <w:rPr>
          <w:rFonts w:asciiTheme="minorHAnsi" w:hAnsiTheme="minorHAnsi" w:cstheme="minorBidi"/>
        </w:rPr>
      </w:pPr>
    </w:p>
    <w:p w14:paraId="19997EE5" w14:textId="77777777" w:rsidR="00B731C3" w:rsidRDefault="00B731C3" w:rsidP="00B731C3">
      <w:pPr>
        <w:pStyle w:val="muudetavtekst"/>
        <w:rPr>
          <w:rFonts w:asciiTheme="minorHAnsi" w:hAnsiTheme="minorHAnsi" w:cstheme="minorBidi"/>
        </w:rPr>
      </w:pPr>
      <w:r>
        <w:rPr>
          <w:rFonts w:asciiTheme="minorHAnsi" w:hAnsiTheme="minorHAnsi" w:cstheme="minorBidi"/>
        </w:rPr>
        <w:t>Paragrahvi 2</w:t>
      </w:r>
      <w:r>
        <w:rPr>
          <w:rFonts w:asciiTheme="minorHAnsi" w:hAnsiTheme="minorHAnsi" w:cstheme="minorBidi"/>
          <w:vertAlign w:val="superscript"/>
        </w:rPr>
        <w:t>4</w:t>
      </w:r>
      <w:r>
        <w:rPr>
          <w:rFonts w:asciiTheme="minorHAnsi" w:hAnsiTheme="minorHAnsi" w:cstheme="minorBidi"/>
        </w:rPr>
        <w:t xml:space="preserve"> lõige 4 sätestab </w:t>
      </w:r>
      <w:r w:rsidRPr="451393D1">
        <w:rPr>
          <w:rFonts w:asciiTheme="minorHAnsi" w:hAnsiTheme="minorHAnsi" w:cstheme="minorBidi"/>
        </w:rPr>
        <w:t>et energiatõhususe koordinaator Kliimaministeerium edendab metoodikaid erinevatele sektoritele</w:t>
      </w:r>
      <w:r>
        <w:rPr>
          <w:rFonts w:asciiTheme="minorHAnsi" w:hAnsiTheme="minorHAnsi" w:cstheme="minorBidi"/>
        </w:rPr>
        <w:t xml:space="preserve"> ning kuidas arvestada otsuste mõju energiaostuvõimetutele ja riskigruppidele</w:t>
      </w:r>
      <w:r w:rsidRPr="483A3B5D">
        <w:rPr>
          <w:rFonts w:asciiTheme="minorHAnsi" w:hAnsiTheme="minorHAnsi" w:cstheme="minorBidi"/>
        </w:rPr>
        <w:t>. Näiteks</w:t>
      </w:r>
      <w:r w:rsidRPr="451393D1">
        <w:rPr>
          <w:rFonts w:asciiTheme="minorHAnsi" w:hAnsiTheme="minorHAnsi" w:cstheme="minorBidi"/>
        </w:rPr>
        <w:t xml:space="preserve"> kuidas otsustusprotsessides energiatõhususe esikohale seadmist hinnata, lisaks kaudsele mõjule ka kulude-tulude analüüsi metoodikaid</w:t>
      </w:r>
      <w:r w:rsidRPr="72979DA0">
        <w:rPr>
          <w:rFonts w:asciiTheme="minorHAnsi" w:hAnsiTheme="minorHAnsi" w:cstheme="minorBidi"/>
        </w:rPr>
        <w:t xml:space="preserve"> </w:t>
      </w:r>
      <w:r w:rsidRPr="6E5662B5">
        <w:rPr>
          <w:rFonts w:asciiTheme="minorHAnsi" w:hAnsiTheme="minorHAnsi" w:cstheme="minorBidi"/>
        </w:rPr>
        <w:t>kasutada.</w:t>
      </w:r>
      <w:r w:rsidRPr="451393D1">
        <w:rPr>
          <w:rFonts w:asciiTheme="minorHAnsi" w:hAnsiTheme="minorHAnsi" w:cstheme="minorBidi"/>
        </w:rPr>
        <w:t xml:space="preserve"> Euroopa Komisjon on lubanud avaldada veel 2025</w:t>
      </w:r>
      <w:r w:rsidRPr="06E12844">
        <w:rPr>
          <w:rFonts w:asciiTheme="minorHAnsi" w:hAnsiTheme="minorHAnsi" w:cstheme="minorBidi"/>
        </w:rPr>
        <w:t>.</w:t>
      </w:r>
      <w:r w:rsidRPr="451393D1">
        <w:rPr>
          <w:rFonts w:asciiTheme="minorHAnsi" w:hAnsiTheme="minorHAnsi" w:cstheme="minorBidi"/>
        </w:rPr>
        <w:t xml:space="preserve"> </w:t>
      </w:r>
      <w:r w:rsidRPr="113AF9E3">
        <w:rPr>
          <w:rFonts w:asciiTheme="minorHAnsi" w:hAnsiTheme="minorHAnsi" w:cstheme="minorBidi"/>
        </w:rPr>
        <w:t xml:space="preserve">aastal </w:t>
      </w:r>
      <w:r w:rsidRPr="451393D1">
        <w:rPr>
          <w:rFonts w:asciiTheme="minorHAnsi" w:hAnsiTheme="minorHAnsi" w:cstheme="minorBidi"/>
        </w:rPr>
        <w:t xml:space="preserve">juhendmaterjale </w:t>
      </w:r>
      <w:r>
        <w:rPr>
          <w:rFonts w:asciiTheme="minorHAnsi" w:hAnsiTheme="minorHAnsi" w:cstheme="minorBidi"/>
        </w:rPr>
        <w:t xml:space="preserve">vähemalt neljale </w:t>
      </w:r>
      <w:r w:rsidRPr="451393D1">
        <w:rPr>
          <w:rFonts w:asciiTheme="minorHAnsi" w:hAnsiTheme="minorHAnsi" w:cstheme="minorBidi"/>
        </w:rPr>
        <w:t>sektori</w:t>
      </w:r>
      <w:r>
        <w:rPr>
          <w:rFonts w:asciiTheme="minorHAnsi" w:hAnsiTheme="minorHAnsi" w:cstheme="minorBidi"/>
        </w:rPr>
        <w:t>le</w:t>
      </w:r>
      <w:r w:rsidRPr="4E950919">
        <w:rPr>
          <w:rFonts w:asciiTheme="minorHAnsi" w:hAnsiTheme="minorHAnsi" w:cstheme="minorBidi"/>
        </w:rPr>
        <w:t xml:space="preserve">, </w:t>
      </w:r>
      <w:r>
        <w:rPr>
          <w:rFonts w:asciiTheme="minorHAnsi" w:hAnsiTheme="minorHAnsi" w:cstheme="minorBidi"/>
        </w:rPr>
        <w:t xml:space="preserve">kuidas </w:t>
      </w:r>
      <w:r w:rsidRPr="4E950919">
        <w:rPr>
          <w:rFonts w:asciiTheme="minorHAnsi" w:hAnsiTheme="minorHAnsi" w:cstheme="minorBidi"/>
        </w:rPr>
        <w:t>arvesta</w:t>
      </w:r>
      <w:r>
        <w:rPr>
          <w:rFonts w:asciiTheme="minorHAnsi" w:hAnsiTheme="minorHAnsi" w:cstheme="minorBidi"/>
        </w:rPr>
        <w:t>da</w:t>
      </w:r>
      <w:r w:rsidRPr="451393D1">
        <w:rPr>
          <w:rFonts w:asciiTheme="minorHAnsi" w:hAnsiTheme="minorHAnsi" w:cstheme="minorBidi"/>
        </w:rPr>
        <w:t xml:space="preserve"> energiatõhususe esikohale seadmise p</w:t>
      </w:r>
      <w:r>
        <w:rPr>
          <w:rFonts w:asciiTheme="minorHAnsi" w:hAnsiTheme="minorHAnsi" w:cstheme="minorBidi"/>
        </w:rPr>
        <w:t>õhimõtet</w:t>
      </w:r>
      <w:r w:rsidRPr="451393D1">
        <w:rPr>
          <w:rFonts w:asciiTheme="minorHAnsi" w:hAnsiTheme="minorHAnsi" w:cstheme="minorBidi"/>
        </w:rPr>
        <w:t xml:space="preserve"> </w:t>
      </w:r>
      <w:r w:rsidRPr="2B0B0B72">
        <w:rPr>
          <w:rFonts w:asciiTheme="minorHAnsi" w:hAnsiTheme="minorHAnsi" w:cstheme="minorBidi"/>
        </w:rPr>
        <w:t>ja</w:t>
      </w:r>
      <w:r w:rsidRPr="451393D1">
        <w:rPr>
          <w:rFonts w:asciiTheme="minorHAnsi" w:hAnsiTheme="minorHAnsi" w:cstheme="minorBidi"/>
        </w:rPr>
        <w:t xml:space="preserve"> koostada kulude-tulude analüüsi(de) metoodikaid.</w:t>
      </w:r>
    </w:p>
    <w:p w14:paraId="30A5E80A" w14:textId="77777777" w:rsidR="00B731C3" w:rsidRDefault="00B731C3" w:rsidP="00B731C3">
      <w:pPr>
        <w:pStyle w:val="muudetavtekst"/>
        <w:rPr>
          <w:rFonts w:asciiTheme="minorHAnsi" w:hAnsiTheme="minorHAnsi" w:cstheme="minorBidi"/>
        </w:rPr>
      </w:pPr>
    </w:p>
    <w:p w14:paraId="67C3A118" w14:textId="77777777" w:rsidR="00B731C3" w:rsidRDefault="00B731C3" w:rsidP="00B731C3">
      <w:pPr>
        <w:pStyle w:val="muudetavtekst"/>
        <w:rPr>
          <w:rFonts w:asciiTheme="minorHAnsi" w:hAnsiTheme="minorHAnsi" w:cstheme="minorBidi"/>
        </w:rPr>
      </w:pPr>
      <w:r>
        <w:rPr>
          <w:rFonts w:asciiTheme="minorHAnsi" w:hAnsiTheme="minorHAnsi" w:cstheme="minorBidi"/>
        </w:rPr>
        <w:t>Paragrahvi 2</w:t>
      </w:r>
      <w:r>
        <w:rPr>
          <w:rFonts w:asciiTheme="minorHAnsi" w:hAnsiTheme="minorHAnsi" w:cstheme="minorBidi"/>
          <w:vertAlign w:val="superscript"/>
        </w:rPr>
        <w:t>2</w:t>
      </w:r>
      <w:r>
        <w:rPr>
          <w:rFonts w:asciiTheme="minorHAnsi" w:hAnsiTheme="minorHAnsi" w:cstheme="minorBidi"/>
        </w:rPr>
        <w:t xml:space="preserve"> lõikega 5 sätestatakse et kõik metoodikad avaldatakse Kliimaministeeriumi ametlikul veebilehel.  </w:t>
      </w:r>
    </w:p>
    <w:p w14:paraId="57081146" w14:textId="77777777" w:rsidR="00B731C3" w:rsidRDefault="00B731C3" w:rsidP="00B731C3">
      <w:pPr>
        <w:pStyle w:val="muudetavtekst"/>
        <w:rPr>
          <w:rFonts w:asciiTheme="minorHAnsi" w:hAnsiTheme="minorHAnsi" w:cstheme="minorBidi"/>
        </w:rPr>
      </w:pPr>
    </w:p>
    <w:p w14:paraId="6B8B986C" w14:textId="77777777" w:rsidR="00B731C3" w:rsidRPr="00876A95" w:rsidRDefault="00B731C3" w:rsidP="00B731C3">
      <w:pPr>
        <w:pStyle w:val="muudetavtekst"/>
        <w:rPr>
          <w:rFonts w:asciiTheme="minorHAnsi" w:hAnsiTheme="minorHAnsi" w:cstheme="minorBidi"/>
        </w:rPr>
      </w:pPr>
      <w:r>
        <w:rPr>
          <w:rFonts w:asciiTheme="minorHAnsi" w:hAnsiTheme="minorHAnsi" w:cstheme="minorBidi"/>
        </w:rPr>
        <w:t>Paragrahvi 2</w:t>
      </w:r>
      <w:r>
        <w:rPr>
          <w:rFonts w:asciiTheme="minorHAnsi" w:hAnsiTheme="minorHAnsi" w:cstheme="minorBidi"/>
          <w:vertAlign w:val="superscript"/>
        </w:rPr>
        <w:t>2</w:t>
      </w:r>
      <w:r>
        <w:rPr>
          <w:rFonts w:asciiTheme="minorHAnsi" w:hAnsiTheme="minorHAnsi" w:cstheme="minorBidi"/>
        </w:rPr>
        <w:t xml:space="preserve"> lõikega 6 sätestab, et juhul kui esialgsetele kavandatavale meetmetele on alternatiivid mis on hinnangu järgi kulutõhusad, neid on võimalik tehniliselt, majanduslikult ellu viia, siis avaliku sektor tagab nende rakendamise. Pigem on see hetkel kehtiva loogilise otsustusprotsessi osa, mis nüüd on seaduse tasemel fikseeritud.  </w:t>
      </w:r>
    </w:p>
    <w:p w14:paraId="656359F3" w14:textId="77777777" w:rsidR="00B731C3" w:rsidRDefault="00B731C3" w:rsidP="00B731C3">
      <w:pPr>
        <w:pStyle w:val="muudetavtekst"/>
        <w:rPr>
          <w:rFonts w:asciiTheme="minorHAnsi" w:hAnsiTheme="minorHAnsi" w:cstheme="minorBidi"/>
        </w:rPr>
      </w:pPr>
    </w:p>
    <w:p w14:paraId="2F7E9CB7" w14:textId="77777777" w:rsidR="00B731C3" w:rsidRDefault="00B731C3" w:rsidP="00B731C3">
      <w:pPr>
        <w:pStyle w:val="muudetavtekst"/>
        <w:rPr>
          <w:rFonts w:asciiTheme="minorHAnsi" w:hAnsiTheme="minorHAnsi" w:cstheme="minorBidi"/>
        </w:rPr>
      </w:pPr>
      <w:r>
        <w:rPr>
          <w:rFonts w:asciiTheme="minorHAnsi" w:hAnsiTheme="minorHAnsi" w:cstheme="minorBidi"/>
        </w:rPr>
        <w:t>Paragrahviga 2</w:t>
      </w:r>
      <w:r>
        <w:rPr>
          <w:rFonts w:asciiTheme="minorHAnsi" w:hAnsiTheme="minorHAnsi" w:cstheme="minorBidi"/>
          <w:vertAlign w:val="superscript"/>
        </w:rPr>
        <w:t>3</w:t>
      </w:r>
      <w:r>
        <w:rPr>
          <w:rFonts w:asciiTheme="minorHAnsi" w:hAnsiTheme="minorHAnsi" w:cstheme="minorBidi"/>
        </w:rPr>
        <w:t xml:space="preserve"> määratletakse võimalikud energiatõhususe esikohale seadmise põhimõtte rakendamise takistused, olgu need võimalikud takistused õigusnormides, tehnilistes nõuetes, oskusteave vms. Eesmärk on kindalaks teha võimalikud turutõkked süsteemselt ja pidevalt, et neid siis edaspidi kõrvaldada. Energiatõhususe esikohale seadmise põhimõtte takistused on toodud Euroopa Komisjoni soovituses</w:t>
      </w:r>
      <w:r>
        <w:rPr>
          <w:rStyle w:val="Allmrkuseviide"/>
          <w:rFonts w:asciiTheme="minorHAnsi" w:hAnsiTheme="minorHAnsi" w:cstheme="minorBidi"/>
        </w:rPr>
        <w:footnoteReference w:id="16"/>
      </w:r>
      <w:r>
        <w:rPr>
          <w:rFonts w:asciiTheme="minorHAnsi" w:hAnsiTheme="minorHAnsi" w:cstheme="minorBidi"/>
        </w:rPr>
        <w:t xml:space="preserve"> (</w:t>
      </w:r>
      <w:r w:rsidRPr="00727D03">
        <w:rPr>
          <w:rFonts w:asciiTheme="minorHAnsi" w:hAnsiTheme="minorHAnsi" w:cstheme="minorBidi"/>
        </w:rPr>
        <w:t>EL) 2021/1749 lisa punktis 3.5.2.</w:t>
      </w:r>
    </w:p>
    <w:p w14:paraId="274EDF5D" w14:textId="77777777" w:rsidR="00B731C3" w:rsidRDefault="00B731C3" w:rsidP="00B731C3">
      <w:pPr>
        <w:pStyle w:val="muudetavtekst"/>
        <w:rPr>
          <w:rFonts w:asciiTheme="minorHAnsi" w:hAnsiTheme="minorHAnsi" w:cstheme="minorBidi"/>
        </w:rPr>
      </w:pPr>
    </w:p>
    <w:p w14:paraId="17DBC62F" w14:textId="77777777" w:rsidR="00B731C3" w:rsidRDefault="00B731C3" w:rsidP="00B731C3">
      <w:pPr>
        <w:pStyle w:val="muudetavtekst"/>
        <w:rPr>
          <w:rFonts w:asciiTheme="minorHAnsi" w:hAnsiTheme="minorHAnsi" w:cstheme="minorBidi"/>
        </w:rPr>
      </w:pPr>
      <w:r>
        <w:rPr>
          <w:rFonts w:asciiTheme="minorHAnsi" w:hAnsiTheme="minorHAnsi" w:cstheme="minorBidi"/>
        </w:rPr>
        <w:t>Paragrahviga 2</w:t>
      </w:r>
      <w:r>
        <w:rPr>
          <w:rFonts w:asciiTheme="minorHAnsi" w:hAnsiTheme="minorHAnsi" w:cstheme="minorBidi"/>
          <w:vertAlign w:val="superscript"/>
        </w:rPr>
        <w:t>4</w:t>
      </w:r>
      <w:r>
        <w:rPr>
          <w:rFonts w:asciiTheme="minorHAnsi" w:hAnsiTheme="minorHAnsi" w:cstheme="minorBidi"/>
        </w:rPr>
        <w:t xml:space="preserve"> sätestatakse energiatõhususe esikohale seadmise põhimõtte rakendaja ja järelevalve. </w:t>
      </w:r>
    </w:p>
    <w:p w14:paraId="654EB2EB" w14:textId="77777777" w:rsidR="00B731C3" w:rsidRDefault="00B731C3" w:rsidP="00B731C3">
      <w:pPr>
        <w:pStyle w:val="muudetavtekst"/>
        <w:rPr>
          <w:rFonts w:asciiTheme="minorHAnsi" w:hAnsiTheme="minorHAnsi" w:cstheme="minorBidi"/>
        </w:rPr>
      </w:pPr>
      <w:r>
        <w:rPr>
          <w:rFonts w:asciiTheme="minorHAnsi" w:hAnsiTheme="minorHAnsi" w:cstheme="minorBidi"/>
        </w:rPr>
        <w:t xml:space="preserve">Lõikega 1 sätestatakse et rakendaja on iga avaliku sektori asustus vastavalt oma pädevusele ja vastutusvaldkonnale olgu need õigusaktid, finantseeskirjad (nt. hankekorrad) ja teised otsused. </w:t>
      </w:r>
    </w:p>
    <w:p w14:paraId="1732C3E8" w14:textId="77777777" w:rsidR="00B731C3" w:rsidRPr="00EE2BB9" w:rsidRDefault="00B731C3" w:rsidP="00B731C3">
      <w:pPr>
        <w:pStyle w:val="muudetavtekst"/>
        <w:rPr>
          <w:rFonts w:asciiTheme="minorHAnsi" w:hAnsiTheme="minorHAnsi" w:cstheme="minorBidi"/>
        </w:rPr>
      </w:pPr>
      <w:r>
        <w:rPr>
          <w:rFonts w:asciiTheme="minorHAnsi" w:hAnsiTheme="minorHAnsi" w:cstheme="minorBidi"/>
        </w:rPr>
        <w:t>Lõikega 2 sätestatakse et kui planeeringute kooskõlastamisel jälgib energiatõhususe esikohale seadmist Maa</w:t>
      </w:r>
      <w:r>
        <w:rPr>
          <w:rFonts w:asciiTheme="minorHAnsi" w:hAnsiTheme="minorHAnsi" w:cstheme="minorHAnsi"/>
        </w:rPr>
        <w:t xml:space="preserve"> ja Ruumiamet, energiahindade kooskõlastamisel Konkurentsiamet</w:t>
      </w:r>
    </w:p>
    <w:p w14:paraId="1192494A" w14:textId="77777777" w:rsidR="00B731C3" w:rsidRDefault="00B731C3" w:rsidP="00B731C3">
      <w:pPr>
        <w:pStyle w:val="muudetavtekst"/>
        <w:rPr>
          <w:rFonts w:asciiTheme="minorHAnsi" w:hAnsiTheme="minorHAnsi" w:cstheme="minorBidi"/>
          <w:bCs/>
        </w:rPr>
      </w:pPr>
    </w:p>
    <w:p w14:paraId="34126397" w14:textId="77777777" w:rsidR="00B731C3" w:rsidRDefault="00B731C3" w:rsidP="00B731C3">
      <w:pPr>
        <w:pStyle w:val="muudetavtekst"/>
        <w:rPr>
          <w:rFonts w:asciiTheme="minorHAnsi" w:hAnsiTheme="minorHAnsi" w:cstheme="minorBidi"/>
          <w:bCs/>
        </w:rPr>
      </w:pPr>
      <w:r>
        <w:rPr>
          <w:rFonts w:asciiTheme="minorHAnsi" w:hAnsiTheme="minorHAnsi" w:cstheme="minorBidi"/>
          <w:bCs/>
        </w:rPr>
        <w:t>Paragrahviga 2</w:t>
      </w:r>
      <w:r>
        <w:rPr>
          <w:rFonts w:asciiTheme="minorHAnsi" w:hAnsiTheme="minorHAnsi" w:cstheme="minorBidi"/>
          <w:bCs/>
          <w:vertAlign w:val="superscript"/>
        </w:rPr>
        <w:t>5</w:t>
      </w:r>
      <w:r>
        <w:rPr>
          <w:rFonts w:asciiTheme="minorHAnsi" w:hAnsiTheme="minorHAnsi" w:cstheme="minorBidi"/>
          <w:bCs/>
        </w:rPr>
        <w:t xml:space="preserve"> hõlmab energiatõhususe esikohale seadmise põhimõtte teabe nõude. Paragrahvi eesmärk on koguda süsteemselt infot kuidas energiatõhususe esikohale seadmise põhimõte rakendatakse ja kus on kitsaskohad, et nende kõrvaldamisega tegeleda. </w:t>
      </w:r>
    </w:p>
    <w:p w14:paraId="40836B2D" w14:textId="77777777" w:rsidR="00B731C3" w:rsidRDefault="00B731C3" w:rsidP="00B731C3">
      <w:pPr>
        <w:pStyle w:val="muudetavtekst"/>
        <w:rPr>
          <w:rFonts w:asciiTheme="minorHAnsi" w:hAnsiTheme="minorHAnsi" w:cstheme="minorBidi"/>
          <w:bCs/>
        </w:rPr>
      </w:pPr>
      <w:r>
        <w:rPr>
          <w:rFonts w:asciiTheme="minorHAnsi" w:hAnsiTheme="minorHAnsi" w:cstheme="minorBidi"/>
          <w:bCs/>
        </w:rPr>
        <w:t xml:space="preserve">Lõikega 1 esitab iga avaliku sektori asutus igal aastal esimeses kvartalis energiasäästu koordinaatorile teabe – kas eelmisel aastal oli kavandamis-, poliitika ja investeerimisotsuseid, mis ületasid 100 000 000 eurot, või transpordi taristuprojektide puhul 175 000 000 eurot. Teiseks teabe nende mõjude kohta kas siis õigusaktidest, finantseeskirjadest jt. reeglitest mis takistavad energiatõhususe esikohale seadmist või siis hoopis soosivad seda.  </w:t>
      </w:r>
    </w:p>
    <w:p w14:paraId="0CB37697" w14:textId="77777777" w:rsidR="00B731C3" w:rsidRPr="006A1880" w:rsidRDefault="00B731C3" w:rsidP="00B731C3">
      <w:pPr>
        <w:pStyle w:val="muudetavtekst"/>
        <w:rPr>
          <w:rFonts w:asciiTheme="minorHAnsi" w:hAnsiTheme="minorHAnsi" w:cstheme="minorBidi"/>
          <w:bCs/>
        </w:rPr>
      </w:pPr>
      <w:r>
        <w:rPr>
          <w:rFonts w:asciiTheme="minorHAnsi" w:hAnsiTheme="minorHAnsi" w:cstheme="minorBidi"/>
          <w:bCs/>
        </w:rPr>
        <w:t xml:space="preserve">Lõikega 2 seatakse energiatõhususe koordinaatorile kohustus analüüsida avaliku sektori asutustel saadud tagasisidet, et  seda siis analüüsida ning seejärel teha ettepaekuid nii tõkete kõrvaldamiseks kui ka olemasolevate positiivsete meetmete võimendamiseks.  Ettepanekud võivad hõlmata nii energia pakkumuse kui ka nõudluse poolt.  </w:t>
      </w:r>
    </w:p>
    <w:p w14:paraId="5BD93F24" w14:textId="77777777" w:rsidR="00B731C3" w:rsidRDefault="00B731C3" w:rsidP="00B731C3">
      <w:pPr>
        <w:pStyle w:val="muudetavtekst"/>
        <w:rPr>
          <w:rFonts w:asciiTheme="minorHAnsi" w:hAnsiTheme="minorHAnsi" w:cstheme="minorHAnsi"/>
        </w:rPr>
      </w:pPr>
    </w:p>
    <w:p w14:paraId="38584270" w14:textId="77777777" w:rsidR="00B731C3" w:rsidRPr="00001DFC" w:rsidRDefault="00B731C3" w:rsidP="00B731C3">
      <w:pPr>
        <w:pStyle w:val="muudetavtekst"/>
        <w:rPr>
          <w:rFonts w:asciiTheme="minorHAnsi" w:hAnsiTheme="minorHAnsi" w:cstheme="minorHAnsi"/>
        </w:rPr>
      </w:pPr>
      <w:r>
        <w:rPr>
          <w:rFonts w:asciiTheme="minorHAnsi" w:hAnsiTheme="minorHAnsi" w:cstheme="minorHAnsi"/>
        </w:rPr>
        <w:t>Paragrahviga 2</w:t>
      </w:r>
      <w:r>
        <w:rPr>
          <w:rFonts w:asciiTheme="minorHAnsi" w:hAnsiTheme="minorHAnsi" w:cstheme="minorHAnsi"/>
          <w:vertAlign w:val="superscript"/>
        </w:rPr>
        <w:t xml:space="preserve">5 </w:t>
      </w:r>
      <w:r>
        <w:rPr>
          <w:rFonts w:asciiTheme="minorHAnsi" w:hAnsiTheme="minorHAnsi" w:cstheme="minorHAnsi"/>
        </w:rPr>
        <w:t xml:space="preserve">luuakse volitusnorm, et energiasäästu koordinaatoril oleks õigus energiatõhususe esikohale seadmise põhimõtte monitooring ja andmete analüüsimine halduslepingu raames edasi anda äriühingule (näiteks Eesti Keskkonnauuringut Keskus), kes juba pragu korraldavad keskkonnauuringuid.  </w:t>
      </w:r>
    </w:p>
    <w:p w14:paraId="2CF98DEB" w14:textId="77777777" w:rsidR="00B731C3" w:rsidRDefault="00B731C3" w:rsidP="00B731C3">
      <w:pPr>
        <w:pStyle w:val="muudetavtekst"/>
        <w:rPr>
          <w:rFonts w:asciiTheme="minorHAnsi" w:hAnsiTheme="minorHAnsi" w:cstheme="minorBidi"/>
        </w:rPr>
      </w:pPr>
    </w:p>
    <w:p w14:paraId="7CC631EE" w14:textId="77777777" w:rsidR="00B731C3" w:rsidRPr="00D01FA0" w:rsidRDefault="00B731C3" w:rsidP="00B731C3">
      <w:pPr>
        <w:pStyle w:val="muudetavtekst"/>
        <w:rPr>
          <w:rFonts w:asciiTheme="minorHAnsi" w:hAnsiTheme="minorHAnsi" w:cstheme="minorHAnsi"/>
          <w:b/>
          <w:bCs/>
        </w:rPr>
      </w:pPr>
      <w:r w:rsidRPr="00D01FA0">
        <w:rPr>
          <w:rFonts w:asciiTheme="minorHAnsi" w:hAnsiTheme="minorHAnsi" w:cstheme="minorHAnsi"/>
          <w:b/>
          <w:bCs/>
        </w:rPr>
        <w:t>Energiatõhususe esikohale seadmise põhimõte</w:t>
      </w:r>
    </w:p>
    <w:p w14:paraId="5A767530" w14:textId="77777777" w:rsidR="00B731C3" w:rsidRPr="00502FE7" w:rsidRDefault="00B731C3" w:rsidP="00B731C3">
      <w:pPr>
        <w:pStyle w:val="muudetavtekst"/>
        <w:rPr>
          <w:rFonts w:asciiTheme="minorHAnsi" w:hAnsiTheme="minorHAnsi" w:cstheme="minorHAnsi"/>
        </w:rPr>
      </w:pPr>
      <w:r>
        <w:rPr>
          <w:rFonts w:asciiTheme="minorHAnsi" w:hAnsiTheme="minorHAnsi" w:cstheme="minorHAnsi"/>
        </w:rPr>
        <w:t>E</w:t>
      </w:r>
      <w:r w:rsidRPr="00502FE7">
        <w:rPr>
          <w:rFonts w:asciiTheme="minorHAnsi" w:hAnsiTheme="minorHAnsi" w:cstheme="minorHAnsi"/>
        </w:rPr>
        <w:t xml:space="preserve">elnõu koostamisel ja muudatuste </w:t>
      </w:r>
      <w:r>
        <w:rPr>
          <w:rFonts w:asciiTheme="minorHAnsi" w:hAnsiTheme="minorHAnsi" w:cstheme="minorHAnsi"/>
        </w:rPr>
        <w:t>tegemisel</w:t>
      </w:r>
      <w:r w:rsidRPr="00502FE7">
        <w:rPr>
          <w:rFonts w:asciiTheme="minorHAnsi" w:hAnsiTheme="minorHAnsi" w:cstheme="minorHAnsi"/>
        </w:rPr>
        <w:t xml:space="preserve"> lähtutakse Euroopa Komisjoni soovitu</w:t>
      </w:r>
      <w:r>
        <w:rPr>
          <w:rFonts w:asciiTheme="minorHAnsi" w:hAnsiTheme="minorHAnsi" w:cstheme="minorHAnsi"/>
        </w:rPr>
        <w:t>s</w:t>
      </w:r>
      <w:r w:rsidRPr="00502FE7">
        <w:rPr>
          <w:rFonts w:asciiTheme="minorHAnsi" w:hAnsiTheme="minorHAnsi" w:cstheme="minorHAnsi"/>
        </w:rPr>
        <w:t>test</w:t>
      </w:r>
      <w:r>
        <w:rPr>
          <w:rStyle w:val="Allmrkuseviide"/>
          <w:rFonts w:asciiTheme="minorHAnsi" w:hAnsiTheme="minorHAnsi" w:cstheme="minorHAnsi"/>
        </w:rPr>
        <w:footnoteReference w:id="17"/>
      </w:r>
      <w:r w:rsidRPr="00502FE7">
        <w:rPr>
          <w:rFonts w:asciiTheme="minorHAnsi" w:hAnsiTheme="minorHAnsi" w:cstheme="minorHAnsi"/>
        </w:rPr>
        <w:t xml:space="preserve"> ja veel avaldamata juhendistest.</w:t>
      </w:r>
    </w:p>
    <w:p w14:paraId="0D7AAADA" w14:textId="77777777" w:rsidR="00B731C3" w:rsidRPr="0038435F" w:rsidRDefault="00B731C3" w:rsidP="00B731C3">
      <w:pPr>
        <w:pStyle w:val="muudetavtekst"/>
        <w:rPr>
          <w:rFonts w:asciiTheme="minorHAnsi" w:hAnsiTheme="minorHAnsi" w:cstheme="minorHAnsi"/>
          <w:b/>
          <w:bCs/>
        </w:rPr>
      </w:pPr>
    </w:p>
    <w:p w14:paraId="35F91CB3" w14:textId="77777777" w:rsidR="00B731C3" w:rsidRDefault="00B731C3" w:rsidP="00B731C3">
      <w:pPr>
        <w:pStyle w:val="muudetavtekst"/>
        <w:rPr>
          <w:rFonts w:asciiTheme="minorHAnsi" w:hAnsiTheme="minorHAnsi" w:cstheme="minorBidi"/>
        </w:rPr>
      </w:pPr>
      <w:r>
        <w:rPr>
          <w:rFonts w:asciiTheme="minorHAnsi" w:hAnsiTheme="minorHAnsi" w:cstheme="minorBidi"/>
        </w:rPr>
        <w:t xml:space="preserve">Kõnealune </w:t>
      </w:r>
      <w:r w:rsidRPr="57490200">
        <w:rPr>
          <w:rFonts w:asciiTheme="minorHAnsi" w:hAnsiTheme="minorHAnsi" w:cstheme="minorBidi"/>
        </w:rPr>
        <w:t>direktiiv astub sammu 2050. aastaks kliimaneutraalsuse saavutamise suunas</w:t>
      </w:r>
      <w:r>
        <w:rPr>
          <w:rFonts w:asciiTheme="minorHAnsi" w:hAnsiTheme="minorHAnsi" w:cstheme="minorBidi"/>
        </w:rPr>
        <w:t xml:space="preserve"> – selles</w:t>
      </w:r>
      <w:r w:rsidRPr="57490200">
        <w:rPr>
          <w:rFonts w:asciiTheme="minorHAnsi" w:hAnsiTheme="minorHAnsi" w:cstheme="minorBidi"/>
        </w:rPr>
        <w:t xml:space="preserve"> käsitatakse energiatõhusust omaette energiaallikana. Kõigis sektoreis, ka väljaspool energiasüsteemi, s</w:t>
      </w:r>
      <w:r>
        <w:rPr>
          <w:rFonts w:asciiTheme="minorHAnsi" w:hAnsiTheme="minorHAnsi" w:cstheme="minorBidi"/>
        </w:rPr>
        <w:t>h</w:t>
      </w:r>
      <w:r w:rsidRPr="57490200">
        <w:rPr>
          <w:rFonts w:asciiTheme="minorHAnsi" w:hAnsiTheme="minorHAnsi" w:cstheme="minorBidi"/>
        </w:rPr>
        <w:t xml:space="preserve"> finantssektoris, tuleks kõigil tasandeil kõikehõlmava põhimõttena arvesse võtta energiatõhususe esikohale seadmise põhimõtet. Energiatõhusus peab alati põhinema otsesel kulutõhususel, kuid sellega võivad kaasneda ka muu ühiskondlikust vaatenurgast laiem mõju</w:t>
      </w:r>
      <w:r>
        <w:rPr>
          <w:rFonts w:asciiTheme="minorHAnsi" w:hAnsiTheme="minorHAnsi" w:cstheme="minorBidi"/>
        </w:rPr>
        <w:t>,</w:t>
      </w:r>
      <w:r w:rsidRPr="57490200">
        <w:rPr>
          <w:rFonts w:asciiTheme="minorHAnsi" w:hAnsiTheme="minorHAnsi" w:cstheme="minorBidi"/>
        </w:rPr>
        <w:t xml:space="preserve"> sh </w:t>
      </w:r>
      <w:r>
        <w:rPr>
          <w:rFonts w:asciiTheme="minorHAnsi" w:hAnsiTheme="minorHAnsi" w:cstheme="minorBidi"/>
        </w:rPr>
        <w:t>suurem</w:t>
      </w:r>
      <w:r w:rsidRPr="57490200">
        <w:rPr>
          <w:rFonts w:asciiTheme="minorHAnsi" w:hAnsiTheme="minorHAnsi" w:cstheme="minorBidi"/>
        </w:rPr>
        <w:t xml:space="preserve"> sotsiaalne (parem sisekliima, vara väärtuse </w:t>
      </w:r>
      <w:r>
        <w:rPr>
          <w:rFonts w:asciiTheme="minorHAnsi" w:hAnsiTheme="minorHAnsi" w:cstheme="minorBidi"/>
        </w:rPr>
        <w:t>kasv</w:t>
      </w:r>
      <w:r w:rsidRPr="57490200">
        <w:rPr>
          <w:rFonts w:asciiTheme="minorHAnsi" w:hAnsiTheme="minorHAnsi" w:cstheme="minorBidi"/>
        </w:rPr>
        <w:t xml:space="preserve">) ja majanduslik (töökohtade loomine, energiajulgeolek, innovatsioon ja teadusarendus jms) kasu. Ülioluline on ka loomulikult </w:t>
      </w:r>
      <w:r>
        <w:rPr>
          <w:rFonts w:asciiTheme="minorHAnsi" w:hAnsiTheme="minorHAnsi" w:cstheme="minorBidi"/>
        </w:rPr>
        <w:t>suurem</w:t>
      </w:r>
      <w:r w:rsidRPr="57490200">
        <w:rPr>
          <w:rFonts w:asciiTheme="minorHAnsi" w:hAnsiTheme="minorHAnsi" w:cstheme="minorBidi"/>
        </w:rPr>
        <w:t xml:space="preserve"> keskkonnakasu</w:t>
      </w:r>
      <w:r>
        <w:rPr>
          <w:rFonts w:asciiTheme="minorHAnsi" w:hAnsiTheme="minorHAnsi" w:cstheme="minorBidi"/>
        </w:rPr>
        <w:t>,</w:t>
      </w:r>
      <w:r w:rsidRPr="57490200">
        <w:rPr>
          <w:rFonts w:asciiTheme="minorHAnsi" w:hAnsiTheme="minorHAnsi" w:cstheme="minorBidi"/>
        </w:rPr>
        <w:t xml:space="preserve"> sh õhukvaliteedi paranemine ja kasvuhoonegaaside vähendamine, mis mõjutab meie kõigi elukeskkonda.</w:t>
      </w:r>
    </w:p>
    <w:p w14:paraId="30CEDF03" w14:textId="77777777" w:rsidR="00B731C3" w:rsidRPr="00750275" w:rsidRDefault="00B731C3" w:rsidP="00B731C3">
      <w:pPr>
        <w:pStyle w:val="muudetavtekst"/>
        <w:rPr>
          <w:rFonts w:asciiTheme="minorHAnsi" w:hAnsiTheme="minorHAnsi" w:cstheme="minorBidi"/>
        </w:rPr>
      </w:pPr>
    </w:p>
    <w:p w14:paraId="0B4E43B8" w14:textId="77777777" w:rsidR="00B731C3" w:rsidRDefault="00B731C3" w:rsidP="00B731C3">
      <w:pPr>
        <w:pStyle w:val="muudetavtekst"/>
        <w:rPr>
          <w:rFonts w:asciiTheme="minorHAnsi" w:hAnsiTheme="minorHAnsi" w:cstheme="minorBidi"/>
        </w:rPr>
      </w:pPr>
      <w:r w:rsidRPr="00750275">
        <w:rPr>
          <w:rFonts w:asciiTheme="minorHAnsi" w:hAnsiTheme="minorHAnsi" w:cstheme="minorBidi"/>
        </w:rPr>
        <w:lastRenderedPageBreak/>
        <w:t xml:space="preserve">Energiatõhususe lahendusi tuleks kaaluda poliitika-, planeerimis- ja investeerimisotsuste tegemisel esimese võimalusena </w:t>
      </w:r>
      <w:r>
        <w:rPr>
          <w:rFonts w:asciiTheme="minorHAnsi" w:hAnsiTheme="minorHAnsi" w:cstheme="minorBidi"/>
        </w:rPr>
        <w:t xml:space="preserve">energia </w:t>
      </w:r>
      <w:r w:rsidRPr="00750275">
        <w:rPr>
          <w:rFonts w:asciiTheme="minorHAnsi" w:hAnsiTheme="minorHAnsi" w:cstheme="minorBidi"/>
        </w:rPr>
        <w:t>pakkumise</w:t>
      </w:r>
      <w:r>
        <w:rPr>
          <w:rFonts w:asciiTheme="minorHAnsi" w:hAnsiTheme="minorHAnsi" w:cstheme="minorBidi"/>
        </w:rPr>
        <w:t xml:space="preserve"> ja tootmise </w:t>
      </w:r>
      <w:r w:rsidRPr="00750275">
        <w:rPr>
          <w:rFonts w:asciiTheme="minorHAnsi" w:hAnsiTheme="minorHAnsi" w:cstheme="minorBidi"/>
        </w:rPr>
        <w:t>poole</w:t>
      </w:r>
      <w:r>
        <w:rPr>
          <w:rFonts w:asciiTheme="minorHAnsi" w:hAnsiTheme="minorHAnsi" w:cstheme="minorBidi"/>
        </w:rPr>
        <w:t>le</w:t>
      </w:r>
      <w:r w:rsidRPr="00750275">
        <w:rPr>
          <w:rFonts w:asciiTheme="minorHAnsi" w:hAnsiTheme="minorHAnsi" w:cstheme="minorBidi"/>
        </w:rPr>
        <w:t xml:space="preserve"> </w:t>
      </w:r>
      <w:r>
        <w:rPr>
          <w:rFonts w:asciiTheme="minorHAnsi" w:hAnsiTheme="minorHAnsi" w:cstheme="minorBidi"/>
        </w:rPr>
        <w:t>ning</w:t>
      </w:r>
      <w:r w:rsidRPr="00750275">
        <w:rPr>
          <w:rFonts w:asciiTheme="minorHAnsi" w:hAnsiTheme="minorHAnsi" w:cstheme="minorBidi"/>
        </w:rPr>
        <w:t xml:space="preserve"> poliitikavaldkondade</w:t>
      </w:r>
      <w:r>
        <w:rPr>
          <w:rFonts w:asciiTheme="minorHAnsi" w:hAnsiTheme="minorHAnsi" w:cstheme="minorBidi"/>
        </w:rPr>
        <w:t>le</w:t>
      </w:r>
      <w:r w:rsidRPr="00750275">
        <w:rPr>
          <w:rFonts w:asciiTheme="minorHAnsi" w:hAnsiTheme="minorHAnsi" w:cstheme="minorBidi"/>
        </w:rPr>
        <w:t xml:space="preserve"> uute reeglite kehtestamisel. </w:t>
      </w:r>
      <w:r w:rsidRPr="57490200">
        <w:rPr>
          <w:rFonts w:asciiTheme="minorHAnsi" w:hAnsiTheme="minorHAnsi" w:cstheme="minorBidi"/>
        </w:rPr>
        <w:t xml:space="preserve">Ehkki energiatõhususe esikohale seadmise põhimõtte kohaldamine ei tohiks piirata muid juriidilisi kohustusi, eesmärke ega põhimõtteid, ei tohiks sellised kohustused, eesmärgid ja põhimõtted tõhususe põhimõtte kohaldamist takistada ega tuua kaasa kohaldamisest vabastamist. </w:t>
      </w:r>
      <w:r>
        <w:rPr>
          <w:rFonts w:asciiTheme="minorHAnsi" w:hAnsiTheme="minorHAnsi" w:cstheme="minorBidi"/>
        </w:rPr>
        <w:t xml:space="preserve">Kogu </w:t>
      </w:r>
      <w:r w:rsidRPr="57490200">
        <w:rPr>
          <w:rFonts w:asciiTheme="minorHAnsi" w:hAnsiTheme="minorHAnsi" w:cstheme="minorBidi"/>
        </w:rPr>
        <w:t>Euroopa Liidu</w:t>
      </w:r>
      <w:r>
        <w:rPr>
          <w:rFonts w:asciiTheme="minorHAnsi" w:hAnsiTheme="minorHAnsi" w:cstheme="minorBidi"/>
        </w:rPr>
        <w:t>s</w:t>
      </w:r>
      <w:r w:rsidRPr="57490200">
        <w:rPr>
          <w:rFonts w:asciiTheme="minorHAnsi" w:hAnsiTheme="minorHAnsi" w:cstheme="minorBidi"/>
        </w:rPr>
        <w:t xml:space="preserve"> peaks olema eesmärk, et energiatõhusus ja tarbimiskaja saaksid konkureerida tootmisvõimsusega võrdsetel alustel. Energiatõhusust on vaja alati parandada, kui see on samaväärsetest turul pakutavatest tootmissuunalistest lahendustest kulutasuvam. See peaks andma eelkõige kodanikele ja ettevõtjatele, lõppkokkuvõttes ka kogu Euroopa Liidule võimaluse kasutada ära energiatõhususe arvukaid eeliseid. Energiatõhususe parandamise meetmete kohaldamine peaks olema prioriteet ka energiaostuvõimetuse leevendamisel.</w:t>
      </w:r>
    </w:p>
    <w:p w14:paraId="5488A436" w14:textId="77777777" w:rsidR="00B731C3" w:rsidRDefault="00B731C3" w:rsidP="00B731C3">
      <w:pPr>
        <w:pStyle w:val="muudetavtekst"/>
        <w:rPr>
          <w:rFonts w:asciiTheme="minorHAnsi" w:hAnsiTheme="minorHAnsi" w:cstheme="minorHAnsi"/>
        </w:rPr>
      </w:pPr>
    </w:p>
    <w:p w14:paraId="19109891" w14:textId="77777777" w:rsidR="00B731C3" w:rsidRDefault="00B731C3" w:rsidP="00B731C3">
      <w:pPr>
        <w:pStyle w:val="muudetavtekst"/>
        <w:rPr>
          <w:rFonts w:asciiTheme="minorHAnsi" w:hAnsiTheme="minorHAnsi" w:cstheme="minorBidi"/>
        </w:rPr>
      </w:pPr>
      <w:r w:rsidRPr="57490200">
        <w:rPr>
          <w:rFonts w:asciiTheme="minorHAnsi" w:hAnsiTheme="minorHAnsi" w:cstheme="minorBidi"/>
        </w:rPr>
        <w:t xml:space="preserve">Energiatõhusust tuleb tulevastes energiataristu investeerimisotsustes pidada keskseks elemendiks ja prioriteediks. Energiatõhususe esikohale seadmise põhimõtte kohaldamisel tuleb peamiselt arvestada </w:t>
      </w:r>
      <w:r>
        <w:rPr>
          <w:rFonts w:asciiTheme="minorHAnsi" w:hAnsiTheme="minorHAnsi" w:cstheme="minorBidi"/>
        </w:rPr>
        <w:t xml:space="preserve">lähtumist </w:t>
      </w:r>
      <w:r w:rsidRPr="57490200">
        <w:rPr>
          <w:rFonts w:asciiTheme="minorHAnsi" w:hAnsiTheme="minorHAnsi" w:cstheme="minorBidi"/>
        </w:rPr>
        <w:t>süsteemi tõhususe</w:t>
      </w:r>
      <w:r>
        <w:rPr>
          <w:rFonts w:asciiTheme="minorHAnsi" w:hAnsiTheme="minorHAnsi" w:cstheme="minorBidi"/>
        </w:rPr>
        <w:t>st</w:t>
      </w:r>
      <w:r w:rsidRPr="57490200">
        <w:rPr>
          <w:rFonts w:asciiTheme="minorHAnsi" w:hAnsiTheme="minorHAnsi" w:cstheme="minorBidi"/>
        </w:rPr>
        <w:t xml:space="preserve">, ühiskondlikku ja tervishoiualast vaatenurka ja pöörata tähelepanu varustuskindlusele, energiasüsteemi lõimimisele ning kliimaneutraalsusele üleminekule. Seega peaks energiatõhususe esikohale seadmise põhimõte aitama suurendada nii üksikute sektorite lõpptarbimise </w:t>
      </w:r>
      <w:r>
        <w:rPr>
          <w:rFonts w:asciiTheme="minorHAnsi" w:hAnsiTheme="minorHAnsi" w:cstheme="minorBidi"/>
        </w:rPr>
        <w:t>kui ka</w:t>
      </w:r>
      <w:r w:rsidRPr="57490200">
        <w:rPr>
          <w:rFonts w:asciiTheme="minorHAnsi" w:hAnsiTheme="minorHAnsi" w:cstheme="minorBidi"/>
        </w:rPr>
        <w:t xml:space="preserve"> kogu energiasüsteemi kui terviku tõhusust. Selle põhimõtte kohaldamine peab toetama ka investeeringuid energiatõhusatesse lahendustesse, mis aitavad kaasa Euroopa Parlamendi ja nõukogu määruse (EL) 2020/852</w:t>
      </w:r>
      <w:r>
        <w:rPr>
          <w:rStyle w:val="Allmrkuseviide"/>
          <w:rFonts w:asciiTheme="minorHAnsi" w:hAnsiTheme="minorHAnsi" w:cstheme="minorBidi"/>
        </w:rPr>
        <w:footnoteReference w:id="18"/>
      </w:r>
      <w:r w:rsidRPr="57490200">
        <w:rPr>
          <w:rFonts w:asciiTheme="minorHAnsi" w:hAnsiTheme="minorHAnsi" w:cstheme="minorBidi"/>
        </w:rPr>
        <w:t xml:space="preserve"> keskkonnaeesmärkide saavutamisele.</w:t>
      </w:r>
    </w:p>
    <w:p w14:paraId="2CB9AA33" w14:textId="77777777" w:rsidR="00B731C3" w:rsidRDefault="00B731C3" w:rsidP="00B731C3">
      <w:pPr>
        <w:pStyle w:val="muudetavtekst"/>
        <w:rPr>
          <w:rFonts w:asciiTheme="minorHAnsi" w:hAnsiTheme="minorHAnsi" w:cstheme="minorHAnsi"/>
        </w:rPr>
      </w:pPr>
    </w:p>
    <w:p w14:paraId="69C330DB" w14:textId="77777777" w:rsidR="00B731C3" w:rsidRDefault="00B731C3" w:rsidP="00B731C3">
      <w:pPr>
        <w:pStyle w:val="muudetavtekst"/>
        <w:rPr>
          <w:rFonts w:asciiTheme="minorHAnsi" w:hAnsiTheme="minorHAnsi" w:cstheme="minorBidi"/>
        </w:rPr>
      </w:pPr>
      <w:r w:rsidRPr="57490200">
        <w:rPr>
          <w:rFonts w:asciiTheme="minorHAnsi" w:hAnsiTheme="minorHAnsi" w:cstheme="minorBidi"/>
        </w:rPr>
        <w:t>Energiatõhususe esikohale seadmise põhimõte on määratletud Euroopa Parlamendi ja nõukogu määruses (EL) 2018/1999</w:t>
      </w:r>
      <w:r w:rsidRPr="57490200">
        <w:rPr>
          <w:rStyle w:val="Allmrkuseviide"/>
          <w:rFonts w:asciiTheme="minorHAnsi" w:hAnsiTheme="minorHAnsi" w:cstheme="minorBidi"/>
        </w:rPr>
        <w:footnoteReference w:id="19"/>
      </w:r>
      <w:r w:rsidRPr="57490200">
        <w:rPr>
          <w:rFonts w:asciiTheme="minorHAnsi" w:hAnsiTheme="minorHAnsi" w:cstheme="minorBidi"/>
        </w:rPr>
        <w:t xml:space="preserve"> ning on ELi energiasüsteemi lõimimise strateegia</w:t>
      </w:r>
      <w:r w:rsidRPr="57490200">
        <w:rPr>
          <w:rStyle w:val="Allmrkuseviide"/>
          <w:rFonts w:asciiTheme="minorHAnsi" w:hAnsiTheme="minorHAnsi" w:cstheme="minorBidi"/>
        </w:rPr>
        <w:footnoteReference w:id="20"/>
      </w:r>
      <w:r w:rsidRPr="57490200">
        <w:rPr>
          <w:rFonts w:asciiTheme="minorHAnsi" w:hAnsiTheme="minorHAnsi" w:cstheme="minorBidi"/>
        </w:rPr>
        <w:t xml:space="preserve"> keskmes. Energiatõhususe direktiiviga tugevdatakse seda põhimõtet ja seatakse esimest korda tingimused selle kohaldamiseks praktikas.</w:t>
      </w:r>
      <w:r w:rsidRPr="00FC54BA">
        <w:t xml:space="preserve"> </w:t>
      </w:r>
      <w:r w:rsidRPr="57490200">
        <w:rPr>
          <w:rFonts w:asciiTheme="minorHAnsi" w:hAnsiTheme="minorHAnsi" w:cstheme="minorBidi"/>
        </w:rPr>
        <w:t>Soovitud mõju avaldumiseks on vaja, et riiklikud, piirkondlikud, kohalikud ja sektori otsustajad kohaldaksid energiatõhususe esikohale seadmise põhimõtet järjepidevalt kõigis asjaomastes stsenaariumites ning poliitika-, kavandamis- ja olulistes investeerimisotsustes – st otsustes, mis puudutavad suuremahulisi investeeringuid väärtusega üle 100 000 000 euro iga projekti kohta või üle 175 000 000 euro transporditaristu projektide puhul –, mis mõjutavad energiatarbimist või -varustust. Seega tuleb seda põhimõtet kohaldada nii energiasektoris kui ka energiaga seotud sektorites.</w:t>
      </w:r>
    </w:p>
    <w:p w14:paraId="00362298" w14:textId="77777777" w:rsidR="00B731C3" w:rsidRDefault="00B731C3" w:rsidP="00B731C3">
      <w:pPr>
        <w:pStyle w:val="muudetavtekst"/>
        <w:rPr>
          <w:rFonts w:asciiTheme="minorHAnsi" w:hAnsiTheme="minorHAnsi" w:cstheme="minorHAnsi"/>
        </w:rPr>
      </w:pPr>
    </w:p>
    <w:p w14:paraId="37D9DD50" w14:textId="77777777" w:rsidR="00B731C3" w:rsidRDefault="00B731C3" w:rsidP="00B731C3">
      <w:pPr>
        <w:pStyle w:val="muudetavtekst"/>
        <w:rPr>
          <w:rFonts w:asciiTheme="minorHAnsi" w:hAnsiTheme="minorHAnsi" w:cstheme="minorBidi"/>
        </w:rPr>
      </w:pPr>
      <w:r w:rsidRPr="57490200">
        <w:rPr>
          <w:rFonts w:asciiTheme="minorHAnsi" w:hAnsiTheme="minorHAnsi" w:cstheme="minorBidi"/>
        </w:rPr>
        <w:t xml:space="preserve">Energiatõhususust tuleks vaadata kui üht energiaallikat. Kasutades mõistlikult ja säästlikult energiat, ei ole vajalik investeerida täiendavalt uutesse energiatootmisüksustesse. Eelkõige tuleb üles leida need meetmed, </w:t>
      </w:r>
      <w:r>
        <w:rPr>
          <w:rFonts w:asciiTheme="minorHAnsi" w:hAnsiTheme="minorHAnsi" w:cstheme="minorBidi"/>
        </w:rPr>
        <w:t>millega saavutame</w:t>
      </w:r>
      <w:r w:rsidRPr="57490200">
        <w:rPr>
          <w:rFonts w:asciiTheme="minorHAnsi" w:hAnsiTheme="minorHAnsi" w:cstheme="minorBidi"/>
        </w:rPr>
        <w:t xml:space="preserve"> mõistliku investeeringuga energia kokkuhoiu.</w:t>
      </w:r>
    </w:p>
    <w:p w14:paraId="3C0C1377" w14:textId="77777777" w:rsidR="00B731C3" w:rsidRDefault="00B731C3" w:rsidP="00B731C3">
      <w:pPr>
        <w:pStyle w:val="muudetavtekst"/>
        <w:rPr>
          <w:rFonts w:asciiTheme="minorHAnsi" w:hAnsiTheme="minorHAnsi" w:cstheme="minorHAnsi"/>
        </w:rPr>
      </w:pPr>
    </w:p>
    <w:p w14:paraId="36539672" w14:textId="77777777" w:rsidR="00B731C3" w:rsidRDefault="00B731C3" w:rsidP="00B731C3">
      <w:pPr>
        <w:pStyle w:val="muudetavtekst"/>
        <w:rPr>
          <w:rFonts w:asciiTheme="minorHAnsi" w:hAnsiTheme="minorHAnsi" w:cstheme="minorBidi"/>
        </w:rPr>
      </w:pPr>
      <w:r w:rsidRPr="57490200">
        <w:rPr>
          <w:rFonts w:asciiTheme="minorHAnsi" w:hAnsiTheme="minorHAnsi" w:cstheme="minorBidi"/>
        </w:rPr>
        <w:t>Energiatõhususe esikohale seadmine ka erinevates mõjuanalüüsides aitab kaasa teadlike otsuste tegemisele ning tagada osa</w:t>
      </w:r>
      <w:r>
        <w:rPr>
          <w:rFonts w:asciiTheme="minorHAnsi" w:hAnsiTheme="minorHAnsi" w:cstheme="minorBidi"/>
        </w:rPr>
        <w:t>liste</w:t>
      </w:r>
      <w:r w:rsidRPr="57490200">
        <w:rPr>
          <w:rFonts w:asciiTheme="minorHAnsi" w:hAnsiTheme="minorHAnsi" w:cstheme="minorBidi"/>
        </w:rPr>
        <w:t xml:space="preserve"> kaasatus</w:t>
      </w:r>
      <w:r>
        <w:rPr>
          <w:rFonts w:asciiTheme="minorHAnsi" w:hAnsiTheme="minorHAnsi" w:cstheme="minorBidi"/>
        </w:rPr>
        <w:t xml:space="preserve">. </w:t>
      </w:r>
      <w:r w:rsidRPr="57490200">
        <w:rPr>
          <w:rFonts w:asciiTheme="minorHAnsi" w:hAnsiTheme="minorHAnsi" w:cstheme="minorBidi"/>
        </w:rPr>
        <w:t>Tuleb rõhutada</w:t>
      </w:r>
      <w:r>
        <w:rPr>
          <w:rFonts w:asciiTheme="minorHAnsi" w:hAnsiTheme="minorHAnsi" w:cstheme="minorBidi"/>
        </w:rPr>
        <w:t>,</w:t>
      </w:r>
      <w:r w:rsidRPr="57490200">
        <w:rPr>
          <w:rFonts w:asciiTheme="minorHAnsi" w:hAnsiTheme="minorHAnsi" w:cstheme="minorBidi"/>
        </w:rPr>
        <w:t xml:space="preserve"> et teatud otsuste mõju võib olla </w:t>
      </w:r>
      <w:r w:rsidRPr="57490200">
        <w:rPr>
          <w:rFonts w:asciiTheme="minorHAnsi" w:hAnsiTheme="minorHAnsi" w:cstheme="minorBidi"/>
        </w:rPr>
        <w:lastRenderedPageBreak/>
        <w:t>negatiivne energiatõhususele, kuid siis tuleb teiste meetmete</w:t>
      </w:r>
      <w:r>
        <w:rPr>
          <w:rFonts w:asciiTheme="minorHAnsi" w:hAnsiTheme="minorHAnsi" w:cstheme="minorBidi"/>
        </w:rPr>
        <w:t>ga</w:t>
      </w:r>
      <w:r w:rsidRPr="57490200">
        <w:rPr>
          <w:rFonts w:asciiTheme="minorHAnsi" w:hAnsiTheme="minorHAnsi" w:cstheme="minorBidi"/>
        </w:rPr>
        <w:t xml:space="preserve"> tagada energiatõhususe üldi</w:t>
      </w:r>
      <w:r>
        <w:rPr>
          <w:rFonts w:asciiTheme="minorHAnsi" w:hAnsiTheme="minorHAnsi" w:cstheme="minorBidi"/>
        </w:rPr>
        <w:t>sed</w:t>
      </w:r>
      <w:r w:rsidRPr="57490200">
        <w:rPr>
          <w:rFonts w:asciiTheme="minorHAnsi" w:hAnsiTheme="minorHAnsi" w:cstheme="minorBidi"/>
        </w:rPr>
        <w:t xml:space="preserve"> eesmärgid.</w:t>
      </w:r>
    </w:p>
    <w:p w14:paraId="3FBF6191" w14:textId="77777777" w:rsidR="00B731C3" w:rsidRDefault="00B731C3" w:rsidP="00B731C3">
      <w:pPr>
        <w:pStyle w:val="muudetavtekst"/>
        <w:rPr>
          <w:rFonts w:asciiTheme="minorHAnsi" w:hAnsiTheme="minorHAnsi" w:cstheme="minorBidi"/>
        </w:rPr>
      </w:pPr>
      <w:r w:rsidRPr="57490200">
        <w:rPr>
          <w:rFonts w:asciiTheme="minorHAnsi" w:hAnsiTheme="minorHAnsi" w:cstheme="minorBidi"/>
        </w:rPr>
        <w:t>Esimene põhiline samm on energiatõhususe kui mõtte viimine otsustusprotsessidesse</w:t>
      </w:r>
      <w:r>
        <w:rPr>
          <w:rFonts w:asciiTheme="minorHAnsi" w:hAnsiTheme="minorHAnsi" w:cstheme="minorBidi"/>
        </w:rPr>
        <w:t>, kasutada otsuste tegemisel energiatõhususest lähtuvaid kulude-tulude metoodikaid.</w:t>
      </w:r>
    </w:p>
    <w:p w14:paraId="2C0EBC76" w14:textId="77777777" w:rsidR="00B731C3" w:rsidRDefault="00B731C3" w:rsidP="00B731C3">
      <w:pPr>
        <w:pStyle w:val="muudetavtekst"/>
        <w:rPr>
          <w:rFonts w:asciiTheme="minorHAnsi" w:hAnsiTheme="minorHAnsi" w:cstheme="minorHAnsi"/>
        </w:rPr>
      </w:pPr>
    </w:p>
    <w:tbl>
      <w:tblPr>
        <w:tblStyle w:val="Kontuurtabel"/>
        <w:tblW w:w="0" w:type="auto"/>
        <w:tblLook w:val="04A0" w:firstRow="1" w:lastRow="0" w:firstColumn="1" w:lastColumn="0" w:noHBand="0" w:noVBand="1"/>
      </w:tblPr>
      <w:tblGrid>
        <w:gridCol w:w="2216"/>
        <w:gridCol w:w="2176"/>
        <w:gridCol w:w="2702"/>
        <w:gridCol w:w="1968"/>
      </w:tblGrid>
      <w:tr w:rsidR="00B731C3" w14:paraId="7C696B7F" w14:textId="77777777" w:rsidTr="00A13E67">
        <w:tc>
          <w:tcPr>
            <w:tcW w:w="2216" w:type="dxa"/>
          </w:tcPr>
          <w:p w14:paraId="4C60CAF7" w14:textId="77777777" w:rsidR="00B731C3" w:rsidRDefault="00B731C3" w:rsidP="00A13E67">
            <w:pPr>
              <w:pStyle w:val="muudetavtekst"/>
              <w:rPr>
                <w:rFonts w:asciiTheme="minorHAnsi" w:hAnsiTheme="minorHAnsi" w:cstheme="minorHAnsi"/>
              </w:rPr>
            </w:pPr>
            <w:r w:rsidRPr="00755D5C">
              <w:rPr>
                <w:rFonts w:asciiTheme="minorHAnsi" w:hAnsiTheme="minorHAnsi" w:cstheme="minorHAnsi"/>
              </w:rPr>
              <w:t xml:space="preserve">Otsuse liik </w:t>
            </w:r>
          </w:p>
        </w:tc>
        <w:tc>
          <w:tcPr>
            <w:tcW w:w="2176" w:type="dxa"/>
          </w:tcPr>
          <w:p w14:paraId="3857463D" w14:textId="77777777" w:rsidR="00B731C3" w:rsidRDefault="00B731C3" w:rsidP="00A13E67">
            <w:pPr>
              <w:pStyle w:val="muudetavtekst"/>
              <w:rPr>
                <w:rFonts w:asciiTheme="minorHAnsi" w:hAnsiTheme="minorHAnsi" w:cstheme="minorHAnsi"/>
              </w:rPr>
            </w:pPr>
            <w:r>
              <w:rPr>
                <w:rFonts w:asciiTheme="minorHAnsi" w:hAnsiTheme="minorHAnsi" w:cstheme="minorHAnsi"/>
              </w:rPr>
              <w:t>Kirjeldus</w:t>
            </w:r>
          </w:p>
        </w:tc>
        <w:tc>
          <w:tcPr>
            <w:tcW w:w="2702" w:type="dxa"/>
          </w:tcPr>
          <w:p w14:paraId="072E6A34" w14:textId="77777777" w:rsidR="00B731C3" w:rsidRDefault="00B731C3" w:rsidP="00A13E67">
            <w:pPr>
              <w:pStyle w:val="muudetavtekst"/>
              <w:rPr>
                <w:rFonts w:asciiTheme="minorHAnsi" w:hAnsiTheme="minorHAnsi" w:cstheme="minorHAnsi"/>
              </w:rPr>
            </w:pPr>
            <w:r>
              <w:rPr>
                <w:rFonts w:asciiTheme="minorHAnsi" w:hAnsiTheme="minorHAnsi" w:cstheme="minorHAnsi"/>
              </w:rPr>
              <w:t>Näited</w:t>
            </w:r>
          </w:p>
        </w:tc>
        <w:tc>
          <w:tcPr>
            <w:tcW w:w="1968" w:type="dxa"/>
          </w:tcPr>
          <w:p w14:paraId="1AAD10C7" w14:textId="77777777" w:rsidR="00B731C3" w:rsidRDefault="00B731C3" w:rsidP="00A13E67">
            <w:pPr>
              <w:pStyle w:val="muudetavtekst"/>
              <w:rPr>
                <w:rFonts w:asciiTheme="minorHAnsi" w:hAnsiTheme="minorHAnsi" w:cstheme="minorBidi"/>
              </w:rPr>
            </w:pPr>
            <w:r>
              <w:rPr>
                <w:rFonts w:asciiTheme="minorHAnsi" w:hAnsiTheme="minorHAnsi" w:cstheme="minorBidi"/>
              </w:rPr>
              <w:t>Mida silmas pidada</w:t>
            </w:r>
            <w:r w:rsidRPr="57490200">
              <w:rPr>
                <w:rFonts w:asciiTheme="minorHAnsi" w:hAnsiTheme="minorHAnsi" w:cstheme="minorBidi"/>
              </w:rPr>
              <w:t xml:space="preserve"> </w:t>
            </w:r>
          </w:p>
        </w:tc>
      </w:tr>
      <w:tr w:rsidR="00B731C3" w14:paraId="5B3AA7F1" w14:textId="77777777" w:rsidTr="00A13E67">
        <w:tc>
          <w:tcPr>
            <w:tcW w:w="2216" w:type="dxa"/>
          </w:tcPr>
          <w:p w14:paraId="734DD2BB" w14:textId="77777777" w:rsidR="00B731C3" w:rsidRDefault="00B731C3" w:rsidP="00A13E67">
            <w:pPr>
              <w:pStyle w:val="muudetavtekst"/>
              <w:rPr>
                <w:rFonts w:asciiTheme="minorHAnsi" w:hAnsiTheme="minorHAnsi" w:cstheme="minorHAnsi"/>
              </w:rPr>
            </w:pPr>
            <w:r w:rsidRPr="0020027C">
              <w:rPr>
                <w:rFonts w:asciiTheme="minorHAnsi" w:hAnsiTheme="minorHAnsi" w:cstheme="minorHAnsi"/>
              </w:rPr>
              <w:t>Kavandamisotsused</w:t>
            </w:r>
          </w:p>
        </w:tc>
        <w:tc>
          <w:tcPr>
            <w:tcW w:w="2176" w:type="dxa"/>
          </w:tcPr>
          <w:p w14:paraId="0B9A49D8" w14:textId="77777777" w:rsidR="00B731C3" w:rsidRPr="005328D1" w:rsidRDefault="00B731C3" w:rsidP="00A13E67">
            <w:pPr>
              <w:pStyle w:val="muudetavtekst"/>
              <w:jc w:val="left"/>
              <w:rPr>
                <w:rFonts w:asciiTheme="minorHAnsi" w:hAnsiTheme="minorHAnsi" w:cstheme="minorHAnsi"/>
              </w:rPr>
            </w:pPr>
            <w:r w:rsidRPr="005328D1">
              <w:rPr>
                <w:rFonts w:asciiTheme="minorHAnsi" w:hAnsiTheme="minorHAnsi" w:cstheme="minorHAnsi"/>
              </w:rPr>
              <w:t xml:space="preserve">Kõrgel tasemel tehtud strateegilised valikud, mis puudutavad </w:t>
            </w:r>
          </w:p>
          <w:p w14:paraId="390FAB53" w14:textId="77777777" w:rsidR="00B731C3" w:rsidRPr="005328D1" w:rsidRDefault="00B731C3" w:rsidP="00A13E67">
            <w:pPr>
              <w:pStyle w:val="muudetavtekst"/>
              <w:jc w:val="left"/>
              <w:rPr>
                <w:rFonts w:asciiTheme="minorHAnsi" w:hAnsiTheme="minorHAnsi" w:cstheme="minorHAnsi"/>
              </w:rPr>
            </w:pPr>
            <w:r w:rsidRPr="005328D1">
              <w:rPr>
                <w:rFonts w:asciiTheme="minorHAnsi" w:hAnsiTheme="minorHAnsi" w:cstheme="minorHAnsi"/>
              </w:rPr>
              <w:t xml:space="preserve">energiasüsteeme ja energiaga </w:t>
            </w:r>
          </w:p>
          <w:p w14:paraId="292C7069" w14:textId="77777777" w:rsidR="00B731C3" w:rsidRPr="005328D1" w:rsidRDefault="00B731C3" w:rsidP="00A13E67">
            <w:pPr>
              <w:pStyle w:val="muudetavtekst"/>
              <w:jc w:val="left"/>
              <w:rPr>
                <w:rFonts w:asciiTheme="minorHAnsi" w:hAnsiTheme="minorHAnsi" w:cstheme="minorBidi"/>
              </w:rPr>
            </w:pPr>
            <w:r w:rsidRPr="57490200">
              <w:rPr>
                <w:rFonts w:asciiTheme="minorHAnsi" w:hAnsiTheme="minorHAnsi" w:cstheme="minorBidi"/>
              </w:rPr>
              <w:t xml:space="preserve">seotud sektoreid ning milles keskendutakse energialahendustega seotud suundumustele </w:t>
            </w:r>
          </w:p>
          <w:p w14:paraId="28E13D25" w14:textId="77777777" w:rsidR="00B731C3" w:rsidRDefault="00B731C3" w:rsidP="00A13E67">
            <w:pPr>
              <w:pStyle w:val="muudetavtekst"/>
              <w:jc w:val="left"/>
              <w:rPr>
                <w:rFonts w:asciiTheme="minorHAnsi" w:hAnsiTheme="minorHAnsi" w:cstheme="minorHAnsi"/>
              </w:rPr>
            </w:pPr>
            <w:r w:rsidRPr="005328D1">
              <w:rPr>
                <w:rFonts w:asciiTheme="minorHAnsi" w:hAnsiTheme="minorHAnsi" w:cstheme="minorHAnsi"/>
              </w:rPr>
              <w:t>ning nende lahenduste teostatavusele ja hindamisele.</w:t>
            </w:r>
          </w:p>
        </w:tc>
        <w:tc>
          <w:tcPr>
            <w:tcW w:w="2702" w:type="dxa"/>
          </w:tcPr>
          <w:p w14:paraId="63F3757A" w14:textId="77777777" w:rsidR="00B731C3" w:rsidRPr="00364E7A" w:rsidRDefault="00B731C3" w:rsidP="00A13E67">
            <w:pPr>
              <w:pStyle w:val="muudetavtekst"/>
              <w:jc w:val="left"/>
              <w:rPr>
                <w:rFonts w:asciiTheme="minorHAnsi" w:hAnsiTheme="minorHAnsi" w:cstheme="minorHAnsi"/>
              </w:rPr>
            </w:pPr>
            <w:r w:rsidRPr="00364E7A">
              <w:rPr>
                <w:rFonts w:asciiTheme="minorHAnsi" w:hAnsiTheme="minorHAnsi" w:cstheme="minorHAnsi"/>
              </w:rPr>
              <w:t xml:space="preserve">Kavandamine avalikus sektoris: lõimitud </w:t>
            </w:r>
          </w:p>
          <w:p w14:paraId="0DEEBCA3" w14:textId="77777777" w:rsidR="00B731C3" w:rsidRPr="00364E7A" w:rsidRDefault="00B731C3" w:rsidP="00A13E67">
            <w:pPr>
              <w:pStyle w:val="muudetavtekst"/>
              <w:jc w:val="left"/>
              <w:rPr>
                <w:rFonts w:asciiTheme="minorHAnsi" w:hAnsiTheme="minorHAnsi" w:cstheme="minorHAnsi"/>
              </w:rPr>
            </w:pPr>
            <w:r w:rsidRPr="00364E7A">
              <w:rPr>
                <w:rFonts w:asciiTheme="minorHAnsi" w:hAnsiTheme="minorHAnsi" w:cstheme="minorHAnsi"/>
              </w:rPr>
              <w:t xml:space="preserve">riiklikud energia- ja kliimakavad, millele </w:t>
            </w:r>
          </w:p>
          <w:p w14:paraId="1AC78199" w14:textId="77777777" w:rsidR="00B731C3" w:rsidRPr="00364E7A" w:rsidRDefault="00B731C3" w:rsidP="00A13E67">
            <w:pPr>
              <w:pStyle w:val="muudetavtekst"/>
              <w:jc w:val="left"/>
              <w:rPr>
                <w:rFonts w:asciiTheme="minorHAnsi" w:hAnsiTheme="minorHAnsi" w:cstheme="minorBidi"/>
              </w:rPr>
            </w:pPr>
            <w:r w:rsidRPr="57490200">
              <w:rPr>
                <w:rFonts w:asciiTheme="minorHAnsi" w:hAnsiTheme="minorHAnsi" w:cstheme="minorBidi"/>
              </w:rPr>
              <w:t xml:space="preserve">on osutatud määruse (EL) 2018/1999 (1) artiklis 3; kümneaastased </w:t>
            </w:r>
            <w:r>
              <w:rPr>
                <w:rFonts w:asciiTheme="minorHAnsi" w:hAnsiTheme="minorHAnsi" w:cstheme="minorBidi"/>
              </w:rPr>
              <w:t>energia</w:t>
            </w:r>
            <w:r w:rsidRPr="57490200">
              <w:rPr>
                <w:rFonts w:asciiTheme="minorHAnsi" w:hAnsiTheme="minorHAnsi" w:cstheme="minorBidi"/>
              </w:rPr>
              <w:t>võrgu arengukavad; riiklik transpordi</w:t>
            </w:r>
            <w:r>
              <w:rPr>
                <w:rFonts w:asciiTheme="minorHAnsi" w:hAnsiTheme="minorHAnsi" w:cstheme="minorBidi"/>
              </w:rPr>
              <w:t xml:space="preserve"> </w:t>
            </w:r>
            <w:r w:rsidRPr="57490200">
              <w:rPr>
                <w:rFonts w:asciiTheme="minorHAnsi" w:hAnsiTheme="minorHAnsi" w:cstheme="minorBidi"/>
              </w:rPr>
              <w:t>planeerimine;</w:t>
            </w:r>
          </w:p>
          <w:p w14:paraId="72C38FE3" w14:textId="77777777" w:rsidR="00B731C3" w:rsidRPr="00364E7A" w:rsidRDefault="00B731C3" w:rsidP="00A13E67">
            <w:pPr>
              <w:pStyle w:val="muudetavtekst"/>
              <w:jc w:val="left"/>
              <w:rPr>
                <w:rFonts w:asciiTheme="minorHAnsi" w:hAnsiTheme="minorHAnsi" w:cstheme="minorHAnsi"/>
              </w:rPr>
            </w:pPr>
            <w:r w:rsidRPr="00364E7A">
              <w:rPr>
                <w:rFonts w:asciiTheme="minorHAnsi" w:hAnsiTheme="minorHAnsi" w:cstheme="minorHAnsi"/>
              </w:rPr>
              <w:t xml:space="preserve">kestliku linnalise liikumiskeskkonna </w:t>
            </w:r>
          </w:p>
          <w:p w14:paraId="5373F857" w14:textId="77777777" w:rsidR="00B731C3" w:rsidRPr="00364E7A" w:rsidRDefault="00B731C3" w:rsidP="00A13E67">
            <w:pPr>
              <w:pStyle w:val="muudetavtekst"/>
              <w:jc w:val="left"/>
              <w:rPr>
                <w:rFonts w:asciiTheme="minorHAnsi" w:hAnsiTheme="minorHAnsi" w:cstheme="minorHAnsi"/>
              </w:rPr>
            </w:pPr>
            <w:r w:rsidRPr="00364E7A">
              <w:rPr>
                <w:rFonts w:asciiTheme="minorHAnsi" w:hAnsiTheme="minorHAnsi" w:cstheme="minorHAnsi"/>
              </w:rPr>
              <w:t>kavad; kohalikud kütte- ja jahutuskavad,</w:t>
            </w:r>
          </w:p>
          <w:p w14:paraId="230B0BA2" w14:textId="77777777" w:rsidR="00B731C3" w:rsidRPr="00364E7A" w:rsidRDefault="00B731C3" w:rsidP="00A13E67">
            <w:pPr>
              <w:pStyle w:val="muudetavtekst"/>
              <w:jc w:val="left"/>
              <w:rPr>
                <w:rFonts w:asciiTheme="minorHAnsi" w:hAnsiTheme="minorHAnsi" w:cstheme="minorHAnsi"/>
              </w:rPr>
            </w:pPr>
            <w:r w:rsidRPr="00364E7A">
              <w:rPr>
                <w:rFonts w:asciiTheme="minorHAnsi" w:hAnsiTheme="minorHAnsi" w:cstheme="minorHAnsi"/>
              </w:rPr>
              <w:t xml:space="preserve">millele on osutatud direktiivi (EL) </w:t>
            </w:r>
          </w:p>
          <w:p w14:paraId="79C9FA26" w14:textId="77777777" w:rsidR="00B731C3" w:rsidRPr="00364E7A" w:rsidRDefault="00B731C3" w:rsidP="00A13E67">
            <w:pPr>
              <w:pStyle w:val="muudetavtekst"/>
              <w:jc w:val="left"/>
              <w:rPr>
                <w:rFonts w:asciiTheme="minorHAnsi" w:hAnsiTheme="minorHAnsi" w:cstheme="minorHAnsi"/>
              </w:rPr>
            </w:pPr>
            <w:r w:rsidRPr="00364E7A">
              <w:rPr>
                <w:rFonts w:asciiTheme="minorHAnsi" w:hAnsiTheme="minorHAnsi" w:cstheme="minorHAnsi"/>
              </w:rPr>
              <w:t>2023/1791 artikli 25 lõikes 6.</w:t>
            </w:r>
          </w:p>
          <w:p w14:paraId="548E7BC4" w14:textId="77777777" w:rsidR="00B731C3" w:rsidRPr="00364E7A" w:rsidRDefault="00B731C3" w:rsidP="00A13E67">
            <w:pPr>
              <w:pStyle w:val="muudetavtekst"/>
              <w:jc w:val="left"/>
              <w:rPr>
                <w:rFonts w:asciiTheme="minorHAnsi" w:hAnsiTheme="minorHAnsi" w:cstheme="minorHAnsi"/>
              </w:rPr>
            </w:pPr>
            <w:r w:rsidRPr="00364E7A">
              <w:rPr>
                <w:rFonts w:asciiTheme="minorHAnsi" w:hAnsiTheme="minorHAnsi" w:cstheme="minorHAnsi"/>
              </w:rPr>
              <w:t xml:space="preserve">Kavandamine erasektoris: strateegiline äritegevuse kavandamine; kinnisvaraga </w:t>
            </w:r>
          </w:p>
          <w:p w14:paraId="792EE0B2" w14:textId="77777777" w:rsidR="00B731C3" w:rsidRDefault="00B731C3" w:rsidP="00A13E67">
            <w:pPr>
              <w:pStyle w:val="muudetavtekst"/>
              <w:jc w:val="left"/>
              <w:rPr>
                <w:rFonts w:asciiTheme="minorHAnsi" w:hAnsiTheme="minorHAnsi" w:cstheme="minorHAnsi"/>
              </w:rPr>
            </w:pPr>
            <w:r w:rsidRPr="00364E7A">
              <w:rPr>
                <w:rFonts w:asciiTheme="minorHAnsi" w:hAnsiTheme="minorHAnsi" w:cstheme="minorHAnsi"/>
              </w:rPr>
              <w:t>seotud planeerimine; sõidukipargiga seotud planeerimine.</w:t>
            </w:r>
          </w:p>
        </w:tc>
        <w:tc>
          <w:tcPr>
            <w:tcW w:w="1968" w:type="dxa"/>
          </w:tcPr>
          <w:p w14:paraId="166F0C58" w14:textId="77777777" w:rsidR="00B731C3" w:rsidRPr="00132A1E" w:rsidRDefault="00B731C3" w:rsidP="00A13E67">
            <w:pPr>
              <w:pStyle w:val="muudetavtekst"/>
              <w:rPr>
                <w:rFonts w:asciiTheme="minorHAnsi" w:hAnsiTheme="minorHAnsi" w:cstheme="minorBidi"/>
              </w:rPr>
            </w:pPr>
            <w:r w:rsidRPr="00132A1E">
              <w:rPr>
                <w:rFonts w:asciiTheme="minorHAnsi" w:hAnsiTheme="minorHAnsi" w:cstheme="minorHAnsi"/>
              </w:rPr>
              <w:t xml:space="preserve">Ei pruugi tingimata </w:t>
            </w:r>
            <w:r w:rsidRPr="57490200">
              <w:rPr>
                <w:rFonts w:asciiTheme="minorHAnsi" w:hAnsiTheme="minorHAnsi" w:cstheme="minorBidi"/>
              </w:rPr>
              <w:t xml:space="preserve">tuua </w:t>
            </w:r>
            <w:r w:rsidRPr="00132A1E">
              <w:rPr>
                <w:rFonts w:asciiTheme="minorHAnsi" w:hAnsiTheme="minorHAnsi" w:cstheme="minorHAnsi"/>
              </w:rPr>
              <w:t>projektidega</w:t>
            </w:r>
            <w:r w:rsidRPr="57490200">
              <w:rPr>
                <w:rFonts w:asciiTheme="minorHAnsi" w:hAnsiTheme="minorHAnsi" w:cstheme="minorBidi"/>
              </w:rPr>
              <w:t xml:space="preserve"> kaasa konkreetseid </w:t>
            </w:r>
          </w:p>
          <w:p w14:paraId="3D39533A" w14:textId="77777777" w:rsidR="00B731C3" w:rsidRDefault="00B731C3" w:rsidP="00A13E67">
            <w:pPr>
              <w:pStyle w:val="muudetavtekst"/>
              <w:rPr>
                <w:rFonts w:asciiTheme="minorHAnsi" w:hAnsiTheme="minorHAnsi" w:cstheme="minorHAnsi"/>
              </w:rPr>
            </w:pPr>
            <w:r w:rsidRPr="00132A1E">
              <w:rPr>
                <w:rFonts w:asciiTheme="minorHAnsi" w:hAnsiTheme="minorHAnsi" w:cstheme="minorHAnsi"/>
              </w:rPr>
              <w:t>rahalisi kohustusi</w:t>
            </w:r>
            <w:r>
              <w:rPr>
                <w:rFonts w:asciiTheme="minorHAnsi" w:hAnsiTheme="minorHAnsi" w:cstheme="minorHAnsi"/>
              </w:rPr>
              <w:t>.</w:t>
            </w:r>
            <w:r w:rsidRPr="00132A1E">
              <w:rPr>
                <w:rFonts w:asciiTheme="minorHAnsi" w:hAnsiTheme="minorHAnsi" w:cstheme="minorHAnsi"/>
              </w:rPr>
              <w:t xml:space="preserve"> </w:t>
            </w:r>
          </w:p>
        </w:tc>
      </w:tr>
      <w:tr w:rsidR="00B731C3" w14:paraId="4CEBFD55" w14:textId="77777777" w:rsidTr="00A13E67">
        <w:tc>
          <w:tcPr>
            <w:tcW w:w="2216" w:type="dxa"/>
          </w:tcPr>
          <w:p w14:paraId="7449BA84" w14:textId="77777777" w:rsidR="00B731C3" w:rsidRDefault="00B731C3" w:rsidP="00A13E67">
            <w:pPr>
              <w:pStyle w:val="muudetavtekst"/>
              <w:rPr>
                <w:rFonts w:asciiTheme="minorHAnsi" w:hAnsiTheme="minorHAnsi" w:cstheme="minorHAnsi"/>
              </w:rPr>
            </w:pPr>
            <w:r w:rsidRPr="0020027C">
              <w:rPr>
                <w:rFonts w:asciiTheme="minorHAnsi" w:hAnsiTheme="minorHAnsi" w:cstheme="minorHAnsi"/>
              </w:rPr>
              <w:t>Poliitikaotsused</w:t>
            </w:r>
          </w:p>
        </w:tc>
        <w:tc>
          <w:tcPr>
            <w:tcW w:w="2176" w:type="dxa"/>
          </w:tcPr>
          <w:p w14:paraId="4B853E5B" w14:textId="77777777" w:rsidR="00B731C3" w:rsidRPr="00132A1E" w:rsidRDefault="00B731C3" w:rsidP="00A13E67">
            <w:pPr>
              <w:pStyle w:val="muudetavtekst"/>
              <w:jc w:val="left"/>
              <w:rPr>
                <w:rFonts w:asciiTheme="minorHAnsi" w:hAnsiTheme="minorHAnsi" w:cstheme="minorHAnsi"/>
              </w:rPr>
            </w:pPr>
            <w:r w:rsidRPr="00132A1E">
              <w:rPr>
                <w:rFonts w:asciiTheme="minorHAnsi" w:hAnsiTheme="minorHAnsi" w:cstheme="minorHAnsi"/>
              </w:rPr>
              <w:t xml:space="preserve">Energiatarbimisele märkimisväärset mõju avaldava poliitika </w:t>
            </w:r>
          </w:p>
          <w:p w14:paraId="51B6122F" w14:textId="77777777" w:rsidR="00B731C3" w:rsidRPr="00132A1E" w:rsidRDefault="00B731C3" w:rsidP="00A13E67">
            <w:pPr>
              <w:pStyle w:val="muudetavtekst"/>
              <w:jc w:val="left"/>
              <w:rPr>
                <w:rFonts w:asciiTheme="minorHAnsi" w:hAnsiTheme="minorHAnsi" w:cstheme="minorHAnsi"/>
              </w:rPr>
            </w:pPr>
            <w:r w:rsidRPr="00132A1E">
              <w:rPr>
                <w:rFonts w:asciiTheme="minorHAnsi" w:hAnsiTheme="minorHAnsi" w:cstheme="minorHAnsi"/>
              </w:rPr>
              <w:t xml:space="preserve">ja eeskirjade väljatöötamine, </w:t>
            </w:r>
          </w:p>
          <w:p w14:paraId="50E468D8" w14:textId="77777777" w:rsidR="00B731C3" w:rsidRPr="00132A1E" w:rsidRDefault="00B731C3" w:rsidP="00A13E67">
            <w:pPr>
              <w:pStyle w:val="muudetavtekst"/>
              <w:jc w:val="left"/>
              <w:rPr>
                <w:rFonts w:asciiTheme="minorHAnsi" w:hAnsiTheme="minorHAnsi" w:cstheme="minorHAnsi"/>
              </w:rPr>
            </w:pPr>
            <w:r w:rsidRPr="00132A1E">
              <w:rPr>
                <w:rFonts w:asciiTheme="minorHAnsi" w:hAnsiTheme="minorHAnsi" w:cstheme="minorHAnsi"/>
              </w:rPr>
              <w:t xml:space="preserve">läbivaatamine ja rakendamine </w:t>
            </w:r>
          </w:p>
          <w:p w14:paraId="65970327" w14:textId="77777777" w:rsidR="00B731C3" w:rsidRPr="00132A1E" w:rsidRDefault="00B731C3" w:rsidP="00A13E67">
            <w:pPr>
              <w:pStyle w:val="muudetavtekst"/>
              <w:jc w:val="left"/>
              <w:rPr>
                <w:rFonts w:asciiTheme="minorHAnsi" w:hAnsiTheme="minorHAnsi" w:cstheme="minorHAnsi"/>
              </w:rPr>
            </w:pPr>
            <w:r w:rsidRPr="00132A1E">
              <w:rPr>
                <w:rFonts w:asciiTheme="minorHAnsi" w:hAnsiTheme="minorHAnsi" w:cstheme="minorHAnsi"/>
              </w:rPr>
              <w:t xml:space="preserve">riiklike, piirkondlike ja kohalike </w:t>
            </w:r>
          </w:p>
          <w:p w14:paraId="6D60E374" w14:textId="77777777" w:rsidR="00B731C3" w:rsidRDefault="00B731C3" w:rsidP="00A13E67">
            <w:pPr>
              <w:pStyle w:val="muudetavtekst"/>
              <w:jc w:val="left"/>
              <w:rPr>
                <w:rFonts w:asciiTheme="minorHAnsi" w:hAnsiTheme="minorHAnsi" w:cstheme="minorHAnsi"/>
              </w:rPr>
            </w:pPr>
            <w:r w:rsidRPr="00132A1E">
              <w:rPr>
                <w:rFonts w:asciiTheme="minorHAnsi" w:hAnsiTheme="minorHAnsi" w:cstheme="minorHAnsi"/>
              </w:rPr>
              <w:t>omavalitsuste poolt.</w:t>
            </w:r>
          </w:p>
        </w:tc>
        <w:tc>
          <w:tcPr>
            <w:tcW w:w="2702" w:type="dxa"/>
          </w:tcPr>
          <w:p w14:paraId="3902D5BF" w14:textId="77777777" w:rsidR="00B731C3" w:rsidRPr="00D81120" w:rsidRDefault="00B731C3" w:rsidP="00A13E67">
            <w:pPr>
              <w:pStyle w:val="muudetavtekst"/>
              <w:jc w:val="left"/>
              <w:rPr>
                <w:rFonts w:asciiTheme="minorHAnsi" w:hAnsiTheme="minorHAnsi" w:cstheme="minorHAnsi"/>
              </w:rPr>
            </w:pPr>
            <w:r w:rsidRPr="00D81120">
              <w:rPr>
                <w:rFonts w:asciiTheme="minorHAnsi" w:hAnsiTheme="minorHAnsi" w:cstheme="minorHAnsi"/>
              </w:rPr>
              <w:t xml:space="preserve">Rahastamiskavad; energiaturu korraldus ja </w:t>
            </w:r>
          </w:p>
          <w:p w14:paraId="3CCEDCEC" w14:textId="77777777" w:rsidR="00B731C3" w:rsidRPr="00D81120" w:rsidRDefault="00B731C3" w:rsidP="00A13E67">
            <w:pPr>
              <w:pStyle w:val="muudetavtekst"/>
              <w:jc w:val="left"/>
              <w:rPr>
                <w:rFonts w:asciiTheme="minorHAnsi" w:hAnsiTheme="minorHAnsi" w:cstheme="minorHAnsi"/>
              </w:rPr>
            </w:pPr>
            <w:r w:rsidRPr="00D81120">
              <w:rPr>
                <w:rFonts w:asciiTheme="minorHAnsi" w:hAnsiTheme="minorHAnsi" w:cstheme="minorHAnsi"/>
              </w:rPr>
              <w:t>reguleerimine: standardid ja normid;</w:t>
            </w:r>
          </w:p>
          <w:p w14:paraId="66FE3016" w14:textId="77777777" w:rsidR="00B731C3" w:rsidRPr="00D81120" w:rsidRDefault="00B731C3" w:rsidP="00A13E67">
            <w:pPr>
              <w:pStyle w:val="muudetavtekst"/>
              <w:jc w:val="left"/>
              <w:rPr>
                <w:rFonts w:asciiTheme="minorHAnsi" w:hAnsiTheme="minorHAnsi" w:cstheme="minorHAnsi"/>
              </w:rPr>
            </w:pPr>
            <w:r w:rsidRPr="00D81120">
              <w:rPr>
                <w:rFonts w:asciiTheme="minorHAnsi" w:hAnsiTheme="minorHAnsi" w:cstheme="minorHAnsi"/>
              </w:rPr>
              <w:t>energia- ja CO</w:t>
            </w:r>
            <w:r w:rsidRPr="001F10AE">
              <w:rPr>
                <w:rFonts w:asciiTheme="minorHAnsi" w:hAnsiTheme="minorHAnsi" w:cstheme="minorHAnsi"/>
                <w:vertAlign w:val="superscript"/>
              </w:rPr>
              <w:t>2</w:t>
            </w:r>
            <w:r w:rsidRPr="00D81120">
              <w:rPr>
                <w:rFonts w:asciiTheme="minorHAnsi" w:hAnsiTheme="minorHAnsi" w:cstheme="minorHAnsi"/>
              </w:rPr>
              <w:t xml:space="preserve">-maksud; teavitamis- ja </w:t>
            </w:r>
          </w:p>
          <w:p w14:paraId="40879A7A" w14:textId="77777777" w:rsidR="00B731C3" w:rsidRDefault="00B731C3" w:rsidP="00A13E67">
            <w:pPr>
              <w:pStyle w:val="muudetavtekst"/>
              <w:jc w:val="left"/>
              <w:rPr>
                <w:rFonts w:asciiTheme="minorHAnsi" w:hAnsiTheme="minorHAnsi" w:cstheme="minorHAnsi"/>
              </w:rPr>
            </w:pPr>
            <w:r w:rsidRPr="00D81120">
              <w:rPr>
                <w:rFonts w:asciiTheme="minorHAnsi" w:hAnsiTheme="minorHAnsi" w:cstheme="minorHAnsi"/>
              </w:rPr>
              <w:t>teadlikkuse suurendamise meetmed.</w:t>
            </w:r>
          </w:p>
        </w:tc>
        <w:tc>
          <w:tcPr>
            <w:tcW w:w="1968" w:type="dxa"/>
          </w:tcPr>
          <w:p w14:paraId="2D3E1609" w14:textId="77777777" w:rsidR="00B731C3" w:rsidRPr="00D81120" w:rsidRDefault="00B731C3" w:rsidP="00A13E67">
            <w:pPr>
              <w:pStyle w:val="muudetavtekst"/>
              <w:jc w:val="left"/>
              <w:rPr>
                <w:rFonts w:asciiTheme="minorHAnsi" w:hAnsiTheme="minorHAnsi" w:cstheme="minorHAnsi"/>
              </w:rPr>
            </w:pPr>
            <w:r w:rsidRPr="00D81120">
              <w:rPr>
                <w:rFonts w:asciiTheme="minorHAnsi" w:hAnsiTheme="minorHAnsi" w:cstheme="minorHAnsi"/>
              </w:rPr>
              <w:t>Tagada, et olemasolevad ja uued poliitika</w:t>
            </w:r>
            <w:r>
              <w:rPr>
                <w:rFonts w:asciiTheme="minorHAnsi" w:hAnsiTheme="minorHAnsi" w:cstheme="minorHAnsi"/>
              </w:rPr>
              <w:t>-</w:t>
            </w:r>
            <w:r w:rsidRPr="00D81120">
              <w:rPr>
                <w:rFonts w:asciiTheme="minorHAnsi" w:hAnsiTheme="minorHAnsi" w:cstheme="minorHAnsi"/>
              </w:rPr>
              <w:t xml:space="preserve">suunad on kooskõlas </w:t>
            </w:r>
          </w:p>
          <w:p w14:paraId="41E01755" w14:textId="77777777" w:rsidR="00B731C3" w:rsidRDefault="00B731C3" w:rsidP="00A13E67">
            <w:pPr>
              <w:pStyle w:val="muudetavtekst"/>
              <w:jc w:val="left"/>
              <w:rPr>
                <w:rFonts w:asciiTheme="minorHAnsi" w:hAnsiTheme="minorHAnsi" w:cstheme="minorHAnsi"/>
              </w:rPr>
            </w:pPr>
            <w:r w:rsidRPr="00D81120">
              <w:rPr>
                <w:rFonts w:asciiTheme="minorHAnsi" w:hAnsiTheme="minorHAnsi" w:cstheme="minorHAnsi"/>
              </w:rPr>
              <w:t>energiatõhususe esikohale seadmise põhimõttega.</w:t>
            </w:r>
          </w:p>
        </w:tc>
      </w:tr>
      <w:tr w:rsidR="00B731C3" w14:paraId="73982BCE" w14:textId="77777777" w:rsidTr="00A13E67">
        <w:tc>
          <w:tcPr>
            <w:tcW w:w="2216" w:type="dxa"/>
          </w:tcPr>
          <w:p w14:paraId="14627D79" w14:textId="77777777" w:rsidR="00B731C3" w:rsidRDefault="00B731C3" w:rsidP="00A13E67">
            <w:pPr>
              <w:pStyle w:val="muudetavtekst"/>
              <w:jc w:val="left"/>
              <w:rPr>
                <w:rFonts w:asciiTheme="minorHAnsi" w:hAnsiTheme="minorHAnsi" w:cstheme="minorHAnsi"/>
              </w:rPr>
            </w:pPr>
            <w:r w:rsidRPr="005328D1">
              <w:rPr>
                <w:rFonts w:asciiTheme="minorHAnsi" w:hAnsiTheme="minorHAnsi" w:cstheme="minorHAnsi"/>
              </w:rPr>
              <w:t>Olulised investeerimisotsused</w:t>
            </w:r>
          </w:p>
        </w:tc>
        <w:tc>
          <w:tcPr>
            <w:tcW w:w="2176" w:type="dxa"/>
          </w:tcPr>
          <w:p w14:paraId="21744B66" w14:textId="77777777" w:rsidR="00B731C3" w:rsidRDefault="00B731C3" w:rsidP="00A13E67">
            <w:pPr>
              <w:pStyle w:val="muudetavtekst"/>
              <w:jc w:val="left"/>
              <w:rPr>
                <w:rFonts w:asciiTheme="minorHAnsi" w:hAnsiTheme="minorHAnsi" w:cstheme="minorHAnsi"/>
              </w:rPr>
            </w:pPr>
            <w:r w:rsidRPr="57490200">
              <w:rPr>
                <w:rFonts w:asciiTheme="minorHAnsi" w:hAnsiTheme="minorHAnsi" w:cstheme="minorBidi"/>
              </w:rPr>
              <w:t xml:space="preserve">Otsused, mis on seotud konkreetsete suurte üksikprojektidega ja </w:t>
            </w:r>
            <w:r w:rsidRPr="00E92CC4">
              <w:rPr>
                <w:rFonts w:asciiTheme="minorHAnsi" w:hAnsiTheme="minorHAnsi" w:cstheme="minorHAnsi"/>
              </w:rPr>
              <w:lastRenderedPageBreak/>
              <w:t>millel on kindel finantsmõju</w:t>
            </w:r>
          </w:p>
        </w:tc>
        <w:tc>
          <w:tcPr>
            <w:tcW w:w="2702" w:type="dxa"/>
          </w:tcPr>
          <w:p w14:paraId="057D43A0" w14:textId="77777777" w:rsidR="00B731C3" w:rsidRPr="008E3C8C" w:rsidRDefault="00B731C3" w:rsidP="00A13E67">
            <w:pPr>
              <w:pStyle w:val="muudetavtekst"/>
              <w:rPr>
                <w:rFonts w:asciiTheme="minorHAnsi" w:hAnsiTheme="minorHAnsi" w:cstheme="minorHAnsi"/>
              </w:rPr>
            </w:pPr>
            <w:r w:rsidRPr="008E3C8C">
              <w:rPr>
                <w:rFonts w:asciiTheme="minorHAnsi" w:hAnsiTheme="minorHAnsi" w:cstheme="minorHAnsi"/>
              </w:rPr>
              <w:lastRenderedPageBreak/>
              <w:t xml:space="preserve">Võrgutaristu; elektri ülekandevõrgu </w:t>
            </w:r>
          </w:p>
          <w:p w14:paraId="3198141D" w14:textId="77777777" w:rsidR="00B731C3" w:rsidRPr="008E3C8C" w:rsidRDefault="00B731C3" w:rsidP="00A13E67">
            <w:pPr>
              <w:pStyle w:val="muudetavtekst"/>
              <w:rPr>
                <w:rFonts w:asciiTheme="minorHAnsi" w:hAnsiTheme="minorHAnsi" w:cstheme="minorHAnsi"/>
              </w:rPr>
            </w:pPr>
            <w:r w:rsidRPr="008E3C8C">
              <w:rPr>
                <w:rFonts w:asciiTheme="minorHAnsi" w:hAnsiTheme="minorHAnsi" w:cstheme="minorHAnsi"/>
              </w:rPr>
              <w:t xml:space="preserve">ühendusliin; suuremahuline meretuulepark; vesiniku </w:t>
            </w:r>
            <w:r w:rsidRPr="008E3C8C">
              <w:rPr>
                <w:rFonts w:asciiTheme="minorHAnsi" w:hAnsiTheme="minorHAnsi" w:cstheme="minorHAnsi"/>
              </w:rPr>
              <w:lastRenderedPageBreak/>
              <w:t xml:space="preserve">tootmisvõimsused, suuremahuline energia salvestamine, ehitusarendusprojekt, uus või laiendatud </w:t>
            </w:r>
          </w:p>
          <w:p w14:paraId="32485ED9" w14:textId="77777777" w:rsidR="00B731C3" w:rsidRDefault="00B731C3" w:rsidP="00A13E67">
            <w:pPr>
              <w:pStyle w:val="muudetavtekst"/>
              <w:rPr>
                <w:rFonts w:asciiTheme="minorHAnsi" w:hAnsiTheme="minorHAnsi" w:cstheme="minorBidi"/>
              </w:rPr>
            </w:pPr>
            <w:r w:rsidRPr="57490200">
              <w:rPr>
                <w:rFonts w:asciiTheme="minorHAnsi" w:hAnsiTheme="minorHAnsi" w:cstheme="minorBidi"/>
              </w:rPr>
              <w:t>lennutransporditaristu, uued kiirteed vms</w:t>
            </w:r>
          </w:p>
        </w:tc>
        <w:tc>
          <w:tcPr>
            <w:tcW w:w="1968" w:type="dxa"/>
          </w:tcPr>
          <w:p w14:paraId="1D6B7B28" w14:textId="77777777" w:rsidR="00B731C3" w:rsidRPr="00E00185" w:rsidRDefault="00B731C3" w:rsidP="00A13E67">
            <w:pPr>
              <w:pStyle w:val="muudetavtekst"/>
              <w:rPr>
                <w:rFonts w:asciiTheme="minorHAnsi" w:hAnsiTheme="minorHAnsi" w:cstheme="minorHAnsi"/>
              </w:rPr>
            </w:pPr>
            <w:r w:rsidRPr="00E00185">
              <w:rPr>
                <w:rFonts w:asciiTheme="minorHAnsi" w:hAnsiTheme="minorHAnsi" w:cstheme="minorHAnsi"/>
              </w:rPr>
              <w:lastRenderedPageBreak/>
              <w:t xml:space="preserve">Konkreetsed projektid, </w:t>
            </w:r>
          </w:p>
          <w:p w14:paraId="3F607C95" w14:textId="77777777" w:rsidR="00B731C3" w:rsidRDefault="00B731C3" w:rsidP="00A13E67">
            <w:pPr>
              <w:pStyle w:val="muudetavtekst"/>
              <w:rPr>
                <w:rFonts w:asciiTheme="minorHAnsi" w:hAnsiTheme="minorHAnsi" w:cstheme="minorHAnsi"/>
              </w:rPr>
            </w:pPr>
            <w:r w:rsidRPr="00E00185">
              <w:rPr>
                <w:rFonts w:asciiTheme="minorHAnsi" w:hAnsiTheme="minorHAnsi" w:cstheme="minorHAnsi"/>
              </w:rPr>
              <w:t>millele on eraldatud raha</w:t>
            </w:r>
            <w:r>
              <w:rPr>
                <w:rFonts w:asciiTheme="minorHAnsi" w:hAnsiTheme="minorHAnsi" w:cstheme="minorHAnsi"/>
              </w:rPr>
              <w:t>.</w:t>
            </w:r>
          </w:p>
        </w:tc>
      </w:tr>
    </w:tbl>
    <w:p w14:paraId="2FD56936" w14:textId="77777777" w:rsidR="00B731C3" w:rsidRDefault="00B731C3" w:rsidP="00B731C3">
      <w:pPr>
        <w:pStyle w:val="muudetavtekst"/>
        <w:rPr>
          <w:rFonts w:asciiTheme="minorHAnsi" w:hAnsiTheme="minorHAnsi" w:cstheme="minorBidi"/>
        </w:rPr>
      </w:pPr>
      <w:r>
        <w:rPr>
          <w:rFonts w:asciiTheme="minorHAnsi" w:hAnsiTheme="minorHAnsi" w:cstheme="minorBidi"/>
        </w:rPr>
        <w:t xml:space="preserve">Tabel 5. </w:t>
      </w:r>
      <w:r w:rsidRPr="57490200">
        <w:rPr>
          <w:rFonts w:asciiTheme="minorHAnsi" w:hAnsiTheme="minorHAnsi" w:cstheme="minorBidi"/>
        </w:rPr>
        <w:t>Kavandamis-, poliitika- ja oluliste investeerimisotsuste võrdlus</w:t>
      </w:r>
    </w:p>
    <w:p w14:paraId="2931FB55" w14:textId="77777777" w:rsidR="00B731C3" w:rsidRDefault="00B731C3" w:rsidP="00B731C3">
      <w:pPr>
        <w:pStyle w:val="muudetavtekst"/>
        <w:rPr>
          <w:rFonts w:asciiTheme="minorHAnsi" w:hAnsiTheme="minorHAnsi" w:cstheme="minorHAnsi"/>
        </w:rPr>
      </w:pPr>
    </w:p>
    <w:p w14:paraId="7D83C6FD" w14:textId="77777777" w:rsidR="00B731C3" w:rsidRPr="00CA7C45" w:rsidRDefault="00B731C3" w:rsidP="00B731C3">
      <w:pPr>
        <w:pStyle w:val="muudetavtekst"/>
        <w:rPr>
          <w:rFonts w:asciiTheme="minorHAnsi" w:hAnsiTheme="minorHAnsi" w:cstheme="minorHAnsi"/>
        </w:rPr>
      </w:pPr>
      <w:r>
        <w:rPr>
          <w:rFonts w:asciiTheme="minorHAnsi" w:hAnsiTheme="minorHAnsi" w:cstheme="minorHAnsi"/>
        </w:rPr>
        <w:t>Direktiiv sätestab, et e</w:t>
      </w:r>
      <w:r w:rsidRPr="00CA7C45">
        <w:rPr>
          <w:rFonts w:asciiTheme="minorHAnsi" w:hAnsiTheme="minorHAnsi" w:cstheme="minorHAnsi"/>
        </w:rPr>
        <w:t>nergiatõhususega seotud lahendusi, s</w:t>
      </w:r>
      <w:r>
        <w:rPr>
          <w:rFonts w:asciiTheme="minorHAnsi" w:hAnsiTheme="minorHAnsi" w:cstheme="minorHAnsi"/>
        </w:rPr>
        <w:t>h</w:t>
      </w:r>
      <w:r w:rsidRPr="00CA7C45">
        <w:rPr>
          <w:rFonts w:asciiTheme="minorHAnsi" w:hAnsiTheme="minorHAnsi" w:cstheme="minorHAnsi"/>
        </w:rPr>
        <w:t xml:space="preserve"> nõudluspoole ressursse ja süsteemi paindlikkust, hinnatakse kavandamis-; poliitika- ja olulistes investeerimisotsustes, mille igaühe väärtus on suurem kui 100 000 000 eurot või transporditaristu projektide puhul 175 000 000 eurot, ning mis on seotud järgmiste sektoritega:</w:t>
      </w:r>
    </w:p>
    <w:p w14:paraId="4375D351" w14:textId="77777777" w:rsidR="00B731C3" w:rsidRPr="00CA7C45" w:rsidRDefault="00B731C3" w:rsidP="00B731C3">
      <w:pPr>
        <w:pStyle w:val="muudetavtekst"/>
        <w:rPr>
          <w:rFonts w:asciiTheme="minorHAnsi" w:hAnsiTheme="minorHAnsi" w:cstheme="minorHAnsi"/>
        </w:rPr>
      </w:pPr>
      <w:r w:rsidRPr="00CA7C45">
        <w:rPr>
          <w:rFonts w:asciiTheme="minorHAnsi" w:hAnsiTheme="minorHAnsi" w:cstheme="minorHAnsi"/>
        </w:rPr>
        <w:t>1</w:t>
      </w:r>
      <w:r w:rsidRPr="008711C0">
        <w:rPr>
          <w:rFonts w:asciiTheme="minorHAnsi" w:hAnsiTheme="minorHAnsi" w:cstheme="minorHAnsi"/>
        </w:rPr>
        <w:t>) energiasüsteemid (tootmine</w:t>
      </w:r>
      <w:r>
        <w:rPr>
          <w:rFonts w:asciiTheme="minorHAnsi" w:hAnsiTheme="minorHAnsi" w:cstheme="minorHAnsi"/>
        </w:rPr>
        <w:t xml:space="preserve"> ja võrgud)</w:t>
      </w:r>
    </w:p>
    <w:p w14:paraId="1A38AA90" w14:textId="77777777" w:rsidR="00B731C3" w:rsidRDefault="00B731C3" w:rsidP="00B731C3">
      <w:pPr>
        <w:pStyle w:val="muudetavtekst"/>
        <w:rPr>
          <w:rFonts w:asciiTheme="minorHAnsi" w:hAnsiTheme="minorHAnsi" w:cstheme="minorHAnsi"/>
        </w:rPr>
      </w:pPr>
      <w:r w:rsidRPr="57490200">
        <w:rPr>
          <w:rFonts w:asciiTheme="minorHAnsi" w:hAnsiTheme="minorHAnsi" w:cstheme="minorBidi"/>
        </w:rPr>
        <w:t xml:space="preserve">2) energiaga seotud sektorid, kui need sektorid mõjutavad energiatarbimist ja energiatõhusust, näiteks hooned, transport, vesi, info- ja kommunikatsioonitehnoloogia (IKT), </w:t>
      </w:r>
      <w:r w:rsidRPr="00CA7C45">
        <w:rPr>
          <w:rFonts w:asciiTheme="minorHAnsi" w:hAnsiTheme="minorHAnsi" w:cstheme="minorHAnsi"/>
        </w:rPr>
        <w:t>põllumajandus ja finantssektor.</w:t>
      </w:r>
    </w:p>
    <w:p w14:paraId="0AF40B84" w14:textId="77777777" w:rsidR="00B731C3" w:rsidRDefault="00B731C3" w:rsidP="00B731C3">
      <w:pPr>
        <w:pStyle w:val="muudetavtekst"/>
        <w:rPr>
          <w:rFonts w:asciiTheme="minorHAnsi" w:hAnsiTheme="minorHAnsi" w:cstheme="minorHAnsi"/>
        </w:rPr>
      </w:pPr>
    </w:p>
    <w:p w14:paraId="4F6A7914" w14:textId="77777777" w:rsidR="00B731C3" w:rsidRDefault="00B731C3" w:rsidP="00B731C3">
      <w:pPr>
        <w:pStyle w:val="muudetavtekst"/>
        <w:rPr>
          <w:rFonts w:asciiTheme="minorHAnsi" w:hAnsiTheme="minorHAnsi" w:cstheme="minorHAnsi"/>
        </w:rPr>
      </w:pPr>
      <w:r>
        <w:rPr>
          <w:rFonts w:asciiTheme="minorHAnsi" w:hAnsiTheme="minorHAnsi" w:cstheme="minorHAnsi"/>
        </w:rPr>
        <w:t xml:space="preserve">Nimetatud taristuprojektide (nt tuuleparkide ja kiirteede rajamine) puhul tuleb arvesse võtta investeeringu kogumaksumust ja ulatust, olenemata sellest, et projekteeritakse või ehitatakse etapiviisi. </w:t>
      </w:r>
      <w:r w:rsidRPr="007D20C9">
        <w:rPr>
          <w:rFonts w:asciiTheme="minorHAnsi" w:hAnsiTheme="minorHAnsi" w:cstheme="minorHAnsi"/>
        </w:rPr>
        <w:t>Näiteks, kuigi tuulepargi iga tuuleturbiin võib toota ja tarnida elektrienergiat iseseisvalt, kujutab kogu tuulepargi</w:t>
      </w:r>
      <w:r>
        <w:rPr>
          <w:rFonts w:asciiTheme="minorHAnsi" w:hAnsiTheme="minorHAnsi" w:cstheme="minorHAnsi"/>
        </w:rPr>
        <w:t xml:space="preserve"> </w:t>
      </w:r>
      <w:r w:rsidRPr="007D20C9">
        <w:rPr>
          <w:rFonts w:asciiTheme="minorHAnsi" w:hAnsiTheme="minorHAnsi" w:cstheme="minorHAnsi"/>
        </w:rPr>
        <w:t>projekt endast ühte investeerimisotsust. Samamoodi tuleks mitmeaastast kiirtee-ehitusprojekti vaadelda investeeringu hindamisel tervikuna, olenemata sellest, kas üksikuid lõike saab kasutada eraldi</w:t>
      </w:r>
      <w:r>
        <w:rPr>
          <w:rFonts w:asciiTheme="minorHAnsi" w:hAnsiTheme="minorHAnsi" w:cstheme="minorHAnsi"/>
        </w:rPr>
        <w:t>.</w:t>
      </w:r>
    </w:p>
    <w:p w14:paraId="42B3E1F6" w14:textId="77777777" w:rsidR="00B731C3" w:rsidRDefault="00B731C3" w:rsidP="00B731C3">
      <w:pPr>
        <w:pStyle w:val="muudetavtekst"/>
        <w:rPr>
          <w:rFonts w:asciiTheme="minorHAnsi" w:hAnsiTheme="minorHAnsi" w:cstheme="minorHAnsi"/>
        </w:rPr>
      </w:pPr>
      <w:r w:rsidRPr="00E332F1">
        <w:rPr>
          <w:rFonts w:asciiTheme="minorHAnsi" w:hAnsiTheme="minorHAnsi" w:cstheme="minorHAnsi"/>
        </w:rPr>
        <w:t xml:space="preserve">Energiatõhususega seotud lahendused ei peaks piirduma ainult lõppkasutuse energiasäästuga, vaid </w:t>
      </w:r>
      <w:r>
        <w:rPr>
          <w:rFonts w:asciiTheme="minorHAnsi" w:hAnsiTheme="minorHAnsi" w:cstheme="minorHAnsi"/>
        </w:rPr>
        <w:t>kajastama</w:t>
      </w:r>
      <w:r w:rsidRPr="00E332F1">
        <w:rPr>
          <w:rFonts w:asciiTheme="minorHAnsi" w:hAnsiTheme="minorHAnsi" w:cstheme="minorHAnsi"/>
        </w:rPr>
        <w:t xml:space="preserve"> ka nõudluspoole vahendeid (tarbimiskaja, energia salvestamine, arukad lahendused) ning energia tõhusat muundamist, ülekannet ja jaotust.</w:t>
      </w:r>
    </w:p>
    <w:p w14:paraId="09F07136" w14:textId="77777777" w:rsidR="00B731C3" w:rsidRDefault="00B731C3" w:rsidP="00B731C3">
      <w:pPr>
        <w:pStyle w:val="muudetavtekst"/>
        <w:rPr>
          <w:rFonts w:asciiTheme="minorHAnsi" w:hAnsiTheme="minorHAnsi" w:cstheme="minorHAnsi"/>
        </w:rPr>
      </w:pPr>
      <w:r w:rsidRPr="0037151A">
        <w:rPr>
          <w:rFonts w:asciiTheme="minorHAnsi" w:hAnsiTheme="minorHAnsi" w:cstheme="minorHAnsi"/>
        </w:rPr>
        <w:t>Energiatõhususega seotud lahenduste hindamine poliitika-, kavandamis- ja olulistes investeerimisotsustes tähendab seda, et selliseid lahendusi tuleks kaaluda ja hinnata otsustusprotsessi osana. Energiatõhususega seotud lahenduste hindamiseks tehtav kulude-tulude analüüs võiks hõlmata järgmist</w:t>
      </w:r>
      <w:r>
        <w:rPr>
          <w:rFonts w:asciiTheme="minorHAnsi" w:hAnsiTheme="minorHAnsi" w:cstheme="minorHAnsi"/>
        </w:rPr>
        <w:t>.</w:t>
      </w:r>
    </w:p>
    <w:p w14:paraId="6833EC19" w14:textId="77777777" w:rsidR="00B731C3" w:rsidRDefault="00B731C3" w:rsidP="00B731C3">
      <w:pPr>
        <w:pStyle w:val="muudetavtekst"/>
        <w:numPr>
          <w:ilvl w:val="0"/>
          <w:numId w:val="37"/>
        </w:numPr>
        <w:rPr>
          <w:rFonts w:asciiTheme="minorHAnsi" w:hAnsiTheme="minorHAnsi" w:cstheme="minorBidi"/>
        </w:rPr>
      </w:pPr>
      <w:r w:rsidRPr="00C27090">
        <w:rPr>
          <w:rFonts w:asciiTheme="minorHAnsi" w:hAnsiTheme="minorHAnsi" w:cstheme="minorBidi"/>
          <w:u w:val="single"/>
        </w:rPr>
        <w:t>Tehniline analüüs,</w:t>
      </w:r>
      <w:r w:rsidRPr="57490200">
        <w:rPr>
          <w:rFonts w:asciiTheme="minorHAnsi" w:hAnsiTheme="minorHAnsi" w:cstheme="minorBidi"/>
        </w:rPr>
        <w:t xml:space="preserve"> mis hindab energiatõhususega seotud lahenduste tehnilist teostatavust ja toimimist. Oluline on</w:t>
      </w:r>
      <w:r>
        <w:rPr>
          <w:rFonts w:asciiTheme="minorHAnsi" w:hAnsiTheme="minorHAnsi" w:cstheme="minorBidi"/>
        </w:rPr>
        <w:t xml:space="preserve"> </w:t>
      </w:r>
      <w:r w:rsidRPr="57490200">
        <w:rPr>
          <w:rFonts w:asciiTheme="minorHAnsi" w:hAnsiTheme="minorHAnsi" w:cstheme="minorBidi"/>
        </w:rPr>
        <w:t>rakendamist käsitlevate nõuete kindlakstegemine ja hindamine.</w:t>
      </w:r>
    </w:p>
    <w:p w14:paraId="2AF55FDD" w14:textId="77777777" w:rsidR="00B731C3" w:rsidRDefault="00B731C3" w:rsidP="00B731C3">
      <w:pPr>
        <w:pStyle w:val="muudetavtekst"/>
        <w:numPr>
          <w:ilvl w:val="0"/>
          <w:numId w:val="37"/>
        </w:numPr>
        <w:rPr>
          <w:rFonts w:asciiTheme="minorHAnsi" w:hAnsiTheme="minorHAnsi" w:cstheme="minorBidi"/>
        </w:rPr>
      </w:pPr>
      <w:r w:rsidRPr="00C27090">
        <w:rPr>
          <w:rFonts w:asciiTheme="minorHAnsi" w:hAnsiTheme="minorHAnsi" w:cstheme="minorBidi"/>
          <w:u w:val="single"/>
        </w:rPr>
        <w:t>Finantsanalüüs,</w:t>
      </w:r>
      <w:r w:rsidRPr="005A7D01">
        <w:rPr>
          <w:rFonts w:asciiTheme="minorHAnsi" w:hAnsiTheme="minorHAnsi" w:cstheme="minorBidi"/>
        </w:rPr>
        <w:t xml:space="preserve"> mis lähtub otsusetegija/investeerija seisukohast</w:t>
      </w:r>
      <w:r>
        <w:rPr>
          <w:rFonts w:asciiTheme="minorHAnsi" w:hAnsiTheme="minorHAnsi" w:cstheme="minorBidi"/>
        </w:rPr>
        <w:t>,</w:t>
      </w:r>
      <w:r w:rsidRPr="005A7D01">
        <w:rPr>
          <w:rFonts w:asciiTheme="minorHAnsi" w:hAnsiTheme="minorHAnsi" w:cstheme="minorBidi"/>
        </w:rPr>
        <w:t xml:space="preserve"> investeeringu analüüsimine, milles võib keskenduda otsestele rahalistele kuludele ja tuludele, kasutada väärtuse hindamiseks turuhindu ning võtta arvesse siirdemakseid, nagu maksud ja toetused. Kohaldatav diskontomäär kajastab investori kapitali alternatiivkulu. Arvesse võib võtta ka laiemat sisemist kasu, näiteks suuremat tööjõu tootlikkust pärast kontorihoone uuendamist, kuigi erasektori otsustajatel on sellist kasu arvuliselt ja rahaliselt sageli keeruline hinnata</w:t>
      </w:r>
      <w:r>
        <w:rPr>
          <w:rFonts w:asciiTheme="minorHAnsi" w:hAnsiTheme="minorHAnsi" w:cstheme="minorBidi"/>
        </w:rPr>
        <w:t>.</w:t>
      </w:r>
    </w:p>
    <w:p w14:paraId="226B6087" w14:textId="77777777" w:rsidR="00B731C3" w:rsidRPr="00731DDE" w:rsidRDefault="00B731C3" w:rsidP="00B731C3">
      <w:pPr>
        <w:pStyle w:val="muudetavtekst"/>
        <w:numPr>
          <w:ilvl w:val="0"/>
          <w:numId w:val="37"/>
        </w:numPr>
        <w:rPr>
          <w:rFonts w:asciiTheme="minorHAnsi" w:hAnsiTheme="minorHAnsi" w:cstheme="minorBidi"/>
        </w:rPr>
      </w:pPr>
      <w:r w:rsidRPr="00C27090">
        <w:rPr>
          <w:rFonts w:asciiTheme="minorHAnsi" w:hAnsiTheme="minorHAnsi" w:cstheme="minorBidi"/>
          <w:u w:val="single"/>
        </w:rPr>
        <w:t>Sotsiaal-majandusanalüüs</w:t>
      </w:r>
      <w:r w:rsidRPr="00731DDE">
        <w:rPr>
          <w:rFonts w:asciiTheme="minorHAnsi" w:hAnsiTheme="minorHAnsi" w:cstheme="minorBidi"/>
        </w:rPr>
        <w:t>: ühiskonna seisukohast analüüsimine, milles võib arvesse võtta energiatõhususega seotud lahenduse kõiki majanduslikke kulusid ja laiemat kasu ühiskonnale tervikuna, kasutada väärtuse hindamiseks majanduslikke või varihindu ja jätta välja siirdemaksed. Kohaldatav diskontomäär kujutab endast ühiskonna ajalise eelistuse määra raha</w:t>
      </w:r>
      <w:r>
        <w:rPr>
          <w:rFonts w:asciiTheme="minorHAnsi" w:hAnsiTheme="minorHAnsi" w:cstheme="minorBidi"/>
        </w:rPr>
        <w:t xml:space="preserve"> järgi</w:t>
      </w:r>
      <w:r w:rsidRPr="00731DDE">
        <w:rPr>
          <w:rFonts w:asciiTheme="minorHAnsi" w:hAnsiTheme="minorHAnsi" w:cstheme="minorBidi"/>
        </w:rPr>
        <w:t xml:space="preserve"> ja on tavaliselt madalam kui finantsanalüüsis. Selle lähenemisviisi puhul vaadeldakse ka laiemat välist kasu, s</w:t>
      </w:r>
      <w:r>
        <w:rPr>
          <w:rFonts w:asciiTheme="minorHAnsi" w:hAnsiTheme="minorHAnsi" w:cstheme="minorBidi"/>
        </w:rPr>
        <w:t>h</w:t>
      </w:r>
      <w:r w:rsidRPr="00731DDE">
        <w:rPr>
          <w:rFonts w:asciiTheme="minorHAnsi" w:hAnsiTheme="minorHAnsi" w:cstheme="minorBidi"/>
        </w:rPr>
        <w:t xml:space="preserve"> keskkonna</w:t>
      </w:r>
      <w:r>
        <w:rPr>
          <w:rFonts w:asciiTheme="minorHAnsi" w:hAnsiTheme="minorHAnsi" w:cstheme="minorBidi"/>
        </w:rPr>
        <w:t>le</w:t>
      </w:r>
      <w:r w:rsidRPr="00731DDE">
        <w:rPr>
          <w:rFonts w:asciiTheme="minorHAnsi" w:hAnsiTheme="minorHAnsi" w:cstheme="minorBidi"/>
        </w:rPr>
        <w:t>, tervise</w:t>
      </w:r>
      <w:r>
        <w:rPr>
          <w:rFonts w:asciiTheme="minorHAnsi" w:hAnsiTheme="minorHAnsi" w:cstheme="minorBidi"/>
        </w:rPr>
        <w:t>le</w:t>
      </w:r>
      <w:r w:rsidRPr="00731DDE">
        <w:rPr>
          <w:rFonts w:asciiTheme="minorHAnsi" w:hAnsiTheme="minorHAnsi" w:cstheme="minorBidi"/>
        </w:rPr>
        <w:t xml:space="preserve"> ja muud ühiskondlikku mõju, mida finantsanalüüs ei hõlma. </w:t>
      </w:r>
      <w:r>
        <w:rPr>
          <w:rFonts w:asciiTheme="minorHAnsi" w:hAnsiTheme="minorHAnsi" w:cstheme="minorBidi"/>
        </w:rPr>
        <w:t>Lisaks</w:t>
      </w:r>
      <w:r w:rsidRPr="00731DDE">
        <w:rPr>
          <w:rFonts w:asciiTheme="minorHAnsi" w:hAnsiTheme="minorHAnsi" w:cstheme="minorBidi"/>
        </w:rPr>
        <w:t xml:space="preserve"> tuleks hinnata ka energiaostuvõimetusele avalduvat mõju. Näiteks võiks spetsiaalselt hinnata vähekaitstud ja madala sissetulekuga leibkondade kulusid ja saadavat kasu.</w:t>
      </w:r>
    </w:p>
    <w:p w14:paraId="0C62DA36" w14:textId="77777777" w:rsidR="00B731C3" w:rsidRDefault="00B731C3" w:rsidP="00B731C3">
      <w:pPr>
        <w:pStyle w:val="muudetavtekst"/>
        <w:rPr>
          <w:rFonts w:asciiTheme="minorHAnsi" w:hAnsiTheme="minorHAnsi" w:cstheme="minorHAnsi"/>
        </w:rPr>
      </w:pPr>
    </w:p>
    <w:tbl>
      <w:tblPr>
        <w:tblStyle w:val="Kontuurtabel"/>
        <w:tblW w:w="0" w:type="auto"/>
        <w:tblLook w:val="04A0" w:firstRow="1" w:lastRow="0" w:firstColumn="1" w:lastColumn="0" w:noHBand="0" w:noVBand="1"/>
      </w:tblPr>
      <w:tblGrid>
        <w:gridCol w:w="1643"/>
        <w:gridCol w:w="4110"/>
        <w:gridCol w:w="3309"/>
      </w:tblGrid>
      <w:tr w:rsidR="00B731C3" w14:paraId="1339A9D9" w14:textId="77777777" w:rsidTr="00A13E67">
        <w:tc>
          <w:tcPr>
            <w:tcW w:w="1643" w:type="dxa"/>
          </w:tcPr>
          <w:p w14:paraId="475A01D0" w14:textId="77777777" w:rsidR="00B731C3" w:rsidRDefault="00B731C3" w:rsidP="00A13E67">
            <w:pPr>
              <w:pStyle w:val="muudetavtekst"/>
              <w:rPr>
                <w:rFonts w:asciiTheme="minorHAnsi" w:hAnsiTheme="minorHAnsi" w:cstheme="minorHAnsi"/>
              </w:rPr>
            </w:pPr>
            <w:r>
              <w:rPr>
                <w:rFonts w:asciiTheme="minorHAnsi" w:hAnsiTheme="minorHAnsi" w:cstheme="minorHAnsi"/>
              </w:rPr>
              <w:t>Sektor</w:t>
            </w:r>
          </w:p>
        </w:tc>
        <w:tc>
          <w:tcPr>
            <w:tcW w:w="4110" w:type="dxa"/>
          </w:tcPr>
          <w:p w14:paraId="63046B3E" w14:textId="77777777" w:rsidR="00B731C3" w:rsidRDefault="00B731C3" w:rsidP="00A13E67">
            <w:pPr>
              <w:pStyle w:val="muudetavtekst"/>
              <w:rPr>
                <w:rFonts w:asciiTheme="minorHAnsi" w:hAnsiTheme="minorHAnsi" w:cstheme="minorBidi"/>
              </w:rPr>
            </w:pPr>
            <w:r w:rsidRPr="57490200">
              <w:rPr>
                <w:rFonts w:asciiTheme="minorHAnsi" w:hAnsiTheme="minorHAnsi" w:cstheme="minorBidi"/>
              </w:rPr>
              <w:t xml:space="preserve">Lisataristu planeerimine </w:t>
            </w:r>
          </w:p>
        </w:tc>
        <w:tc>
          <w:tcPr>
            <w:tcW w:w="3309" w:type="dxa"/>
          </w:tcPr>
          <w:p w14:paraId="3B930BD4" w14:textId="77777777" w:rsidR="00B731C3" w:rsidRDefault="00B731C3" w:rsidP="00A13E67">
            <w:pPr>
              <w:pStyle w:val="muudetavtekst"/>
              <w:rPr>
                <w:rFonts w:asciiTheme="minorHAnsi" w:hAnsiTheme="minorHAnsi" w:cstheme="minorHAnsi"/>
              </w:rPr>
            </w:pPr>
            <w:r>
              <w:rPr>
                <w:rFonts w:asciiTheme="minorHAnsi" w:hAnsiTheme="minorHAnsi" w:cstheme="minorHAnsi"/>
              </w:rPr>
              <w:t xml:space="preserve">Võimalikud alternatiivid/ täiendavad lahendused </w:t>
            </w:r>
          </w:p>
        </w:tc>
      </w:tr>
      <w:tr w:rsidR="00B731C3" w14:paraId="20033CAD" w14:textId="77777777" w:rsidTr="00A13E67">
        <w:tc>
          <w:tcPr>
            <w:tcW w:w="1643" w:type="dxa"/>
          </w:tcPr>
          <w:p w14:paraId="2635978A" w14:textId="77777777" w:rsidR="00B731C3" w:rsidRDefault="00B731C3" w:rsidP="00A13E67">
            <w:pPr>
              <w:pStyle w:val="muudetavtekst"/>
              <w:rPr>
                <w:rFonts w:asciiTheme="minorHAnsi" w:hAnsiTheme="minorHAnsi" w:cstheme="minorHAnsi"/>
              </w:rPr>
            </w:pPr>
            <w:r>
              <w:rPr>
                <w:rFonts w:asciiTheme="minorHAnsi" w:hAnsiTheme="minorHAnsi" w:cstheme="minorHAnsi"/>
              </w:rPr>
              <w:t>Elekter</w:t>
            </w:r>
          </w:p>
        </w:tc>
        <w:tc>
          <w:tcPr>
            <w:tcW w:w="4110" w:type="dxa"/>
          </w:tcPr>
          <w:p w14:paraId="71035B54" w14:textId="77777777" w:rsidR="00B731C3" w:rsidRPr="007176F6" w:rsidRDefault="00B731C3" w:rsidP="00A13E67">
            <w:pPr>
              <w:pStyle w:val="muudetavtekst"/>
              <w:jc w:val="left"/>
              <w:rPr>
                <w:rFonts w:asciiTheme="minorHAnsi" w:hAnsiTheme="minorHAnsi" w:cstheme="minorHAnsi"/>
              </w:rPr>
            </w:pPr>
            <w:r>
              <w:rPr>
                <w:rFonts w:asciiTheme="minorHAnsi" w:hAnsiTheme="minorHAnsi" w:cstheme="minorHAnsi"/>
              </w:rPr>
              <w:t>-</w:t>
            </w:r>
            <w:r w:rsidRPr="007176F6">
              <w:rPr>
                <w:rFonts w:asciiTheme="minorHAnsi" w:hAnsiTheme="minorHAnsi" w:cstheme="minorHAnsi"/>
              </w:rPr>
              <w:t xml:space="preserve"> tootmine (tavapärased ja </w:t>
            </w:r>
            <w:r>
              <w:rPr>
                <w:rFonts w:asciiTheme="minorHAnsi" w:hAnsiTheme="minorHAnsi" w:cstheme="minorHAnsi"/>
              </w:rPr>
              <w:t>t</w:t>
            </w:r>
            <w:r w:rsidRPr="007176F6">
              <w:rPr>
                <w:rFonts w:asciiTheme="minorHAnsi" w:hAnsiTheme="minorHAnsi" w:cstheme="minorHAnsi"/>
              </w:rPr>
              <w:t>aastuvelektrijaamad, koostootmisjaamad)</w:t>
            </w:r>
          </w:p>
          <w:p w14:paraId="28D38952" w14:textId="77777777" w:rsidR="00B731C3" w:rsidRPr="007176F6" w:rsidRDefault="00B731C3" w:rsidP="00A13E67">
            <w:pPr>
              <w:pStyle w:val="muudetavtekst"/>
              <w:jc w:val="left"/>
              <w:rPr>
                <w:rFonts w:asciiTheme="minorHAnsi" w:hAnsiTheme="minorHAnsi" w:cstheme="minorHAnsi"/>
              </w:rPr>
            </w:pPr>
            <w:r>
              <w:rPr>
                <w:rFonts w:asciiTheme="minorHAnsi" w:hAnsiTheme="minorHAnsi" w:cstheme="minorHAnsi"/>
              </w:rPr>
              <w:t>-</w:t>
            </w:r>
            <w:r w:rsidRPr="007176F6">
              <w:rPr>
                <w:rFonts w:asciiTheme="minorHAnsi" w:hAnsiTheme="minorHAnsi" w:cstheme="minorHAnsi"/>
              </w:rPr>
              <w:t xml:space="preserve"> ülekanne ja jaotus (kõrgepinge ülekandeliinid,</w:t>
            </w:r>
          </w:p>
          <w:p w14:paraId="5647E687" w14:textId="77777777" w:rsidR="00B731C3" w:rsidRPr="007176F6" w:rsidRDefault="00B731C3" w:rsidP="00A13E67">
            <w:pPr>
              <w:pStyle w:val="muudetavtekst"/>
              <w:jc w:val="left"/>
              <w:rPr>
                <w:rFonts w:asciiTheme="minorHAnsi" w:hAnsiTheme="minorHAnsi" w:cstheme="minorHAnsi"/>
              </w:rPr>
            </w:pPr>
            <w:r w:rsidRPr="57490200">
              <w:rPr>
                <w:rFonts w:asciiTheme="minorHAnsi" w:hAnsiTheme="minorHAnsi" w:cstheme="minorBidi"/>
              </w:rPr>
              <w:t>alajaamad, võrkudevahelised ühendused, tra</w:t>
            </w:r>
            <w:r w:rsidRPr="007176F6">
              <w:rPr>
                <w:rFonts w:asciiTheme="minorHAnsi" w:hAnsiTheme="minorHAnsi" w:cstheme="minorHAnsi"/>
              </w:rPr>
              <w:t>fod jne)</w:t>
            </w:r>
          </w:p>
          <w:p w14:paraId="1F63BDC9" w14:textId="77777777" w:rsidR="00B731C3" w:rsidRDefault="00B731C3" w:rsidP="00A13E67">
            <w:pPr>
              <w:pStyle w:val="muudetavtekst"/>
              <w:jc w:val="left"/>
              <w:rPr>
                <w:rFonts w:asciiTheme="minorHAnsi" w:hAnsiTheme="minorHAnsi" w:cstheme="minorHAnsi"/>
              </w:rPr>
            </w:pPr>
            <w:r>
              <w:rPr>
                <w:rFonts w:asciiTheme="minorHAnsi" w:hAnsiTheme="minorHAnsi" w:cstheme="minorHAnsi"/>
              </w:rPr>
              <w:t>-</w:t>
            </w:r>
            <w:r w:rsidRPr="007176F6">
              <w:rPr>
                <w:rFonts w:asciiTheme="minorHAnsi" w:hAnsiTheme="minorHAnsi" w:cstheme="minorHAnsi"/>
              </w:rPr>
              <w:t xml:space="preserve"> salvestamine (pumphüdrosalvestus, akude</w:t>
            </w:r>
            <w:r>
              <w:rPr>
                <w:rFonts w:asciiTheme="minorHAnsi" w:hAnsiTheme="minorHAnsi" w:cstheme="minorHAnsi"/>
              </w:rPr>
              <w:t xml:space="preserve">s </w:t>
            </w:r>
            <w:r w:rsidRPr="007176F6">
              <w:rPr>
                <w:rFonts w:asciiTheme="minorHAnsi" w:hAnsiTheme="minorHAnsi" w:cstheme="minorHAnsi"/>
              </w:rPr>
              <w:t>salvestamine jne)</w:t>
            </w:r>
          </w:p>
        </w:tc>
        <w:tc>
          <w:tcPr>
            <w:tcW w:w="3309" w:type="dxa"/>
          </w:tcPr>
          <w:p w14:paraId="50747B58" w14:textId="77777777" w:rsidR="00B731C3" w:rsidRPr="00C15BDA" w:rsidRDefault="00B731C3" w:rsidP="00A13E67">
            <w:pPr>
              <w:pStyle w:val="muudetavtekst"/>
              <w:jc w:val="left"/>
              <w:rPr>
                <w:rFonts w:asciiTheme="minorHAnsi" w:hAnsiTheme="minorHAnsi" w:cstheme="minorHAnsi"/>
              </w:rPr>
            </w:pPr>
            <w:r>
              <w:rPr>
                <w:rFonts w:asciiTheme="minorHAnsi" w:hAnsiTheme="minorHAnsi" w:cstheme="minorHAnsi"/>
              </w:rPr>
              <w:t xml:space="preserve">- </w:t>
            </w:r>
            <w:r w:rsidRPr="00C15BDA">
              <w:rPr>
                <w:rFonts w:asciiTheme="minorHAnsi" w:hAnsiTheme="minorHAnsi" w:cstheme="minorHAnsi"/>
              </w:rPr>
              <w:t>nõudluse paindlikkus/tarbimiskaja (nt elektrisõidukite elektritarbimise juhtimine, reageeriv/  kahesuunaline laadimine, paindliku töörežiimiga soojuspumbad, kasutusajast sõltuvad energiatariifid ja tarbimiskaja koondamise teenused)</w:t>
            </w:r>
          </w:p>
          <w:p w14:paraId="1FACC912" w14:textId="77777777" w:rsidR="00B731C3" w:rsidRPr="00C15BDA" w:rsidRDefault="00B731C3" w:rsidP="00A13E67">
            <w:pPr>
              <w:pStyle w:val="muudetavtekst"/>
              <w:jc w:val="left"/>
              <w:rPr>
                <w:rFonts w:asciiTheme="minorHAnsi" w:hAnsiTheme="minorHAnsi" w:cstheme="minorHAnsi"/>
              </w:rPr>
            </w:pPr>
            <w:r>
              <w:rPr>
                <w:rFonts w:asciiTheme="minorHAnsi" w:hAnsiTheme="minorHAnsi" w:cstheme="minorHAnsi"/>
              </w:rPr>
              <w:t>-</w:t>
            </w:r>
            <w:r w:rsidRPr="00C15BDA">
              <w:rPr>
                <w:rFonts w:asciiTheme="minorHAnsi" w:hAnsiTheme="minorHAnsi" w:cstheme="minorHAnsi"/>
              </w:rPr>
              <w:t xml:space="preserve"> tarkvõrgu tehnoloogia lahendused, sealhulgas nutikas mõõtetaristu</w:t>
            </w:r>
          </w:p>
          <w:p w14:paraId="42AA72CF" w14:textId="77777777" w:rsidR="00B731C3" w:rsidRDefault="00B731C3" w:rsidP="00A13E67">
            <w:pPr>
              <w:pStyle w:val="muudetavtekst"/>
              <w:jc w:val="left"/>
              <w:rPr>
                <w:rFonts w:asciiTheme="minorHAnsi" w:hAnsiTheme="minorHAnsi" w:cstheme="minorHAnsi"/>
              </w:rPr>
            </w:pPr>
            <w:r>
              <w:rPr>
                <w:rFonts w:asciiTheme="minorHAnsi" w:hAnsiTheme="minorHAnsi" w:cstheme="minorHAnsi"/>
              </w:rPr>
              <w:t>-</w:t>
            </w:r>
            <w:r w:rsidRPr="00C15BDA">
              <w:rPr>
                <w:rFonts w:asciiTheme="minorHAnsi" w:hAnsiTheme="minorHAnsi" w:cstheme="minorHAnsi"/>
              </w:rPr>
              <w:t xml:space="preserve"> lõppkasutuse energiasääst (nt tõhusad masinad ja seadmed, valgustus)</w:t>
            </w:r>
          </w:p>
        </w:tc>
      </w:tr>
      <w:tr w:rsidR="00B731C3" w14:paraId="059EFDAC" w14:textId="77777777" w:rsidTr="00A13E67">
        <w:tc>
          <w:tcPr>
            <w:tcW w:w="1643" w:type="dxa"/>
          </w:tcPr>
          <w:p w14:paraId="373B8BA5" w14:textId="77777777" w:rsidR="00B731C3" w:rsidRDefault="00B731C3" w:rsidP="00A13E67">
            <w:pPr>
              <w:pStyle w:val="muudetavtekst"/>
              <w:rPr>
                <w:rFonts w:asciiTheme="minorHAnsi" w:hAnsiTheme="minorHAnsi" w:cstheme="minorHAnsi"/>
              </w:rPr>
            </w:pPr>
            <w:r w:rsidRPr="00890852">
              <w:rPr>
                <w:rFonts w:asciiTheme="minorHAnsi" w:hAnsiTheme="minorHAnsi" w:cstheme="minorHAnsi"/>
              </w:rPr>
              <w:t>Gaas</w:t>
            </w:r>
            <w:r>
              <w:rPr>
                <w:rFonts w:asciiTheme="minorHAnsi" w:hAnsiTheme="minorHAnsi" w:cstheme="minorHAnsi"/>
              </w:rPr>
              <w:t xml:space="preserve"> ja soojus </w:t>
            </w:r>
          </w:p>
        </w:tc>
        <w:tc>
          <w:tcPr>
            <w:tcW w:w="4110" w:type="dxa"/>
          </w:tcPr>
          <w:p w14:paraId="026907C5" w14:textId="77777777" w:rsidR="00B731C3" w:rsidRPr="00016DD3" w:rsidRDefault="00B731C3" w:rsidP="00A13E67">
            <w:pPr>
              <w:pStyle w:val="muudetavtekst"/>
              <w:jc w:val="left"/>
              <w:rPr>
                <w:rFonts w:asciiTheme="minorHAnsi" w:hAnsiTheme="minorHAnsi" w:cstheme="minorHAnsi"/>
              </w:rPr>
            </w:pPr>
            <w:r>
              <w:rPr>
                <w:rFonts w:asciiTheme="minorHAnsi" w:hAnsiTheme="minorHAnsi" w:cstheme="minorHAnsi"/>
              </w:rPr>
              <w:t xml:space="preserve">- </w:t>
            </w:r>
            <w:r w:rsidRPr="00016DD3">
              <w:rPr>
                <w:rFonts w:asciiTheme="minorHAnsi" w:hAnsiTheme="minorHAnsi" w:cstheme="minorHAnsi"/>
              </w:rPr>
              <w:t>tootmine (tavapärased katlad, ahjud, koostootmine</w:t>
            </w:r>
            <w:r>
              <w:rPr>
                <w:rFonts w:asciiTheme="minorHAnsi" w:hAnsiTheme="minorHAnsi" w:cstheme="minorHAnsi"/>
              </w:rPr>
              <w:t>, vesinikutaristu</w:t>
            </w:r>
            <w:r w:rsidRPr="00016DD3">
              <w:rPr>
                <w:rFonts w:asciiTheme="minorHAnsi" w:hAnsiTheme="minorHAnsi" w:cstheme="minorHAnsi"/>
              </w:rPr>
              <w:t>)</w:t>
            </w:r>
          </w:p>
          <w:p w14:paraId="125BC758" w14:textId="77777777" w:rsidR="00B731C3" w:rsidRPr="00016DD3" w:rsidRDefault="00B731C3" w:rsidP="00A13E67">
            <w:pPr>
              <w:pStyle w:val="muudetavtekst"/>
              <w:jc w:val="left"/>
              <w:rPr>
                <w:rFonts w:asciiTheme="minorHAnsi" w:hAnsiTheme="minorHAnsi" w:cstheme="minorHAnsi"/>
              </w:rPr>
            </w:pPr>
            <w:r>
              <w:rPr>
                <w:rFonts w:asciiTheme="minorHAnsi" w:hAnsiTheme="minorHAnsi" w:cstheme="minorHAnsi"/>
              </w:rPr>
              <w:t>-</w:t>
            </w:r>
            <w:r w:rsidRPr="00016DD3">
              <w:rPr>
                <w:rFonts w:asciiTheme="minorHAnsi" w:hAnsiTheme="minorHAnsi" w:cstheme="minorHAnsi"/>
              </w:rPr>
              <w:t xml:space="preserve"> võrgud (torud, soojusvahetid, pumbad, alajaamad)</w:t>
            </w:r>
          </w:p>
          <w:p w14:paraId="65FB25FA" w14:textId="77777777" w:rsidR="00B731C3" w:rsidRDefault="00B731C3" w:rsidP="00A13E67">
            <w:pPr>
              <w:pStyle w:val="muudetavtekst"/>
              <w:jc w:val="left"/>
              <w:rPr>
                <w:rFonts w:asciiTheme="minorHAnsi" w:hAnsiTheme="minorHAnsi" w:cstheme="minorHAnsi"/>
              </w:rPr>
            </w:pPr>
            <w:r>
              <w:rPr>
                <w:rFonts w:asciiTheme="minorHAnsi" w:hAnsiTheme="minorHAnsi" w:cstheme="minorHAnsi"/>
              </w:rPr>
              <w:t>-</w:t>
            </w:r>
            <w:r w:rsidRPr="00016DD3">
              <w:rPr>
                <w:rFonts w:asciiTheme="minorHAnsi" w:hAnsiTheme="minorHAnsi" w:cstheme="minorHAnsi"/>
              </w:rPr>
              <w:t xml:space="preserve"> salvestamine (soojusenergia salvestamine, sooja- ja külmasalvestid jne)</w:t>
            </w:r>
          </w:p>
        </w:tc>
        <w:tc>
          <w:tcPr>
            <w:tcW w:w="3309" w:type="dxa"/>
          </w:tcPr>
          <w:p w14:paraId="6EECE2B3" w14:textId="77777777" w:rsidR="00B731C3" w:rsidRPr="00766863" w:rsidRDefault="00B731C3" w:rsidP="00A13E67">
            <w:pPr>
              <w:pStyle w:val="muudetavtekst"/>
              <w:jc w:val="left"/>
              <w:rPr>
                <w:rFonts w:asciiTheme="minorHAnsi" w:hAnsiTheme="minorHAnsi" w:cstheme="minorHAnsi"/>
              </w:rPr>
            </w:pPr>
            <w:r>
              <w:rPr>
                <w:rFonts w:asciiTheme="minorHAnsi" w:hAnsiTheme="minorHAnsi" w:cstheme="minorHAnsi"/>
              </w:rPr>
              <w:t xml:space="preserve">- </w:t>
            </w:r>
            <w:r w:rsidRPr="00766863">
              <w:rPr>
                <w:rFonts w:asciiTheme="minorHAnsi" w:hAnsiTheme="minorHAnsi" w:cstheme="minorHAnsi"/>
              </w:rPr>
              <w:t>lõppkasutuse energiasääst (nt hoonete isolatsioon)</w:t>
            </w:r>
          </w:p>
          <w:p w14:paraId="10C1E909" w14:textId="77777777" w:rsidR="00B731C3" w:rsidRPr="00766863" w:rsidRDefault="00B731C3" w:rsidP="00A13E67">
            <w:pPr>
              <w:pStyle w:val="muudetavtekst"/>
              <w:jc w:val="left"/>
              <w:rPr>
                <w:rFonts w:asciiTheme="minorHAnsi" w:hAnsiTheme="minorHAnsi" w:cstheme="minorHAnsi"/>
              </w:rPr>
            </w:pPr>
            <w:r>
              <w:rPr>
                <w:rFonts w:asciiTheme="minorHAnsi" w:hAnsiTheme="minorHAnsi" w:cstheme="minorHAnsi"/>
              </w:rPr>
              <w:t>-</w:t>
            </w:r>
            <w:r w:rsidRPr="00766863">
              <w:rPr>
                <w:rFonts w:asciiTheme="minorHAnsi" w:hAnsiTheme="minorHAnsi" w:cstheme="minorHAnsi"/>
              </w:rPr>
              <w:t xml:space="preserve"> küttesüsteemide ja transpordiliikide elektrifitseerimine (mis toob kasu süsteemisisese tõhususe seisukohast)</w:t>
            </w:r>
          </w:p>
          <w:p w14:paraId="7A15C96B" w14:textId="77777777" w:rsidR="00B731C3" w:rsidRDefault="00B731C3" w:rsidP="00A13E67">
            <w:pPr>
              <w:pStyle w:val="muudetavtekst"/>
              <w:jc w:val="left"/>
              <w:rPr>
                <w:rFonts w:asciiTheme="minorHAnsi" w:hAnsiTheme="minorHAnsi" w:cstheme="minorHAnsi"/>
              </w:rPr>
            </w:pPr>
            <w:r>
              <w:rPr>
                <w:rFonts w:asciiTheme="minorHAnsi" w:hAnsiTheme="minorHAnsi" w:cstheme="minorHAnsi"/>
              </w:rPr>
              <w:t>-</w:t>
            </w:r>
            <w:r w:rsidRPr="00766863">
              <w:rPr>
                <w:rFonts w:asciiTheme="minorHAnsi" w:hAnsiTheme="minorHAnsi" w:cstheme="minorHAnsi"/>
              </w:rPr>
              <w:t xml:space="preserve"> võrgukao vähendamin</w:t>
            </w:r>
            <w:r>
              <w:rPr>
                <w:rFonts w:asciiTheme="minorHAnsi" w:hAnsiTheme="minorHAnsi" w:cstheme="minorHAnsi"/>
              </w:rPr>
              <w:t>e</w:t>
            </w:r>
          </w:p>
          <w:p w14:paraId="30DD1531" w14:textId="77777777" w:rsidR="00B731C3" w:rsidRPr="008E389B" w:rsidRDefault="00B731C3" w:rsidP="00A13E67">
            <w:pPr>
              <w:pStyle w:val="muudetavtekst"/>
              <w:jc w:val="left"/>
              <w:rPr>
                <w:rFonts w:asciiTheme="minorHAnsi" w:hAnsiTheme="minorHAnsi" w:cstheme="minorHAnsi"/>
              </w:rPr>
            </w:pPr>
            <w:r w:rsidRPr="008E389B">
              <w:rPr>
                <w:rFonts w:asciiTheme="minorHAnsi" w:hAnsiTheme="minorHAnsi" w:cstheme="minorHAnsi"/>
              </w:rPr>
              <w:t>süsteemi integreerimine ja tõhusus (nt elektrienergiast soojusenergiaks)</w:t>
            </w:r>
          </w:p>
          <w:p w14:paraId="2C82D471" w14:textId="77777777" w:rsidR="00B731C3" w:rsidRPr="008E389B" w:rsidRDefault="00B731C3" w:rsidP="00A13E67">
            <w:pPr>
              <w:pStyle w:val="muudetavtekst"/>
              <w:jc w:val="left"/>
              <w:rPr>
                <w:rFonts w:asciiTheme="minorHAnsi" w:hAnsiTheme="minorHAnsi" w:cstheme="minorHAnsi"/>
              </w:rPr>
            </w:pPr>
            <w:r>
              <w:rPr>
                <w:rFonts w:asciiTheme="minorHAnsi" w:hAnsiTheme="minorHAnsi" w:cstheme="minorHAnsi"/>
              </w:rPr>
              <w:t>-</w:t>
            </w:r>
            <w:r w:rsidRPr="008E389B">
              <w:rPr>
                <w:rFonts w:asciiTheme="minorHAnsi" w:hAnsiTheme="minorHAnsi" w:cstheme="minorHAnsi"/>
              </w:rPr>
              <w:t xml:space="preserve"> taastuvad energiaallikad (nt soojuspumpadega toodetud energia, maapõueenergia, päikese soojusenergia)</w:t>
            </w:r>
          </w:p>
          <w:p w14:paraId="321CAC26" w14:textId="77777777" w:rsidR="00B731C3" w:rsidRPr="008E389B" w:rsidRDefault="00B731C3" w:rsidP="00A13E67">
            <w:pPr>
              <w:pStyle w:val="muudetavtekst"/>
              <w:jc w:val="left"/>
              <w:rPr>
                <w:rFonts w:asciiTheme="minorHAnsi" w:hAnsiTheme="minorHAnsi" w:cstheme="minorHAnsi"/>
              </w:rPr>
            </w:pPr>
            <w:r>
              <w:rPr>
                <w:rFonts w:asciiTheme="minorHAnsi" w:hAnsiTheme="minorHAnsi" w:cstheme="minorHAnsi"/>
              </w:rPr>
              <w:t>-</w:t>
            </w:r>
            <w:r w:rsidRPr="008E389B">
              <w:rPr>
                <w:rFonts w:asciiTheme="minorHAnsi" w:hAnsiTheme="minorHAnsi" w:cstheme="minorHAnsi"/>
              </w:rPr>
              <w:t xml:space="preserve"> heitsoojuse taaskasutamine</w:t>
            </w:r>
          </w:p>
          <w:p w14:paraId="1104F105" w14:textId="77777777" w:rsidR="00B731C3" w:rsidRDefault="00B731C3" w:rsidP="00A13E67">
            <w:pPr>
              <w:pStyle w:val="muudetavtekst"/>
              <w:jc w:val="left"/>
              <w:rPr>
                <w:rFonts w:asciiTheme="minorHAnsi" w:hAnsiTheme="minorHAnsi" w:cstheme="minorHAnsi"/>
              </w:rPr>
            </w:pPr>
            <w:r>
              <w:rPr>
                <w:rFonts w:asciiTheme="minorHAnsi" w:hAnsiTheme="minorHAnsi" w:cstheme="minorHAnsi"/>
              </w:rPr>
              <w:t>-</w:t>
            </w:r>
            <w:r w:rsidRPr="008E389B">
              <w:rPr>
                <w:rFonts w:asciiTheme="minorHAnsi" w:hAnsiTheme="minorHAnsi" w:cstheme="minorHAnsi"/>
              </w:rPr>
              <w:t xml:space="preserve"> taastuvenergial põhinev kaugküte</w:t>
            </w:r>
          </w:p>
        </w:tc>
      </w:tr>
      <w:tr w:rsidR="00B731C3" w14:paraId="7D875E6A" w14:textId="77777777" w:rsidTr="00A13E67">
        <w:tc>
          <w:tcPr>
            <w:tcW w:w="1643" w:type="dxa"/>
          </w:tcPr>
          <w:p w14:paraId="3F767372" w14:textId="77777777" w:rsidR="00B731C3" w:rsidRDefault="00B731C3" w:rsidP="00A13E67">
            <w:pPr>
              <w:pStyle w:val="muudetavtekst"/>
              <w:rPr>
                <w:rFonts w:asciiTheme="minorHAnsi" w:hAnsiTheme="minorHAnsi" w:cstheme="minorHAnsi"/>
              </w:rPr>
            </w:pPr>
            <w:r>
              <w:rPr>
                <w:rFonts w:asciiTheme="minorHAnsi" w:hAnsiTheme="minorHAnsi" w:cstheme="minorHAnsi"/>
              </w:rPr>
              <w:t xml:space="preserve">Hooned </w:t>
            </w:r>
          </w:p>
        </w:tc>
        <w:tc>
          <w:tcPr>
            <w:tcW w:w="4110" w:type="dxa"/>
          </w:tcPr>
          <w:p w14:paraId="3E37AC96" w14:textId="77777777" w:rsidR="00B731C3" w:rsidRPr="000C72AE" w:rsidRDefault="00B731C3" w:rsidP="00A13E67">
            <w:pPr>
              <w:pStyle w:val="muudetavtekst"/>
              <w:rPr>
                <w:rFonts w:asciiTheme="minorHAnsi" w:hAnsiTheme="minorHAnsi" w:cstheme="minorHAnsi"/>
              </w:rPr>
            </w:pPr>
            <w:r w:rsidRPr="000C72AE">
              <w:rPr>
                <w:rFonts w:asciiTheme="minorHAnsi" w:hAnsiTheme="minorHAnsi" w:cstheme="minorHAnsi"/>
              </w:rPr>
              <w:t>suuremahuline ehitus (nt ärihooned, ela</w:t>
            </w:r>
          </w:p>
          <w:p w14:paraId="78E4DDF7" w14:textId="77777777" w:rsidR="00B731C3" w:rsidRPr="000C72AE" w:rsidRDefault="00B731C3" w:rsidP="00A13E67">
            <w:pPr>
              <w:pStyle w:val="muudetavtekst"/>
              <w:rPr>
                <w:rFonts w:asciiTheme="minorHAnsi" w:hAnsiTheme="minorHAnsi" w:cstheme="minorHAnsi"/>
              </w:rPr>
            </w:pPr>
            <w:r w:rsidRPr="000C72AE">
              <w:rPr>
                <w:rFonts w:asciiTheme="minorHAnsi" w:hAnsiTheme="minorHAnsi" w:cstheme="minorHAnsi"/>
              </w:rPr>
              <w:t xml:space="preserve">mukompleksid, üldkasutatavad ehitised, </w:t>
            </w:r>
          </w:p>
          <w:p w14:paraId="7F244703" w14:textId="77777777" w:rsidR="00B731C3" w:rsidRDefault="00B731C3" w:rsidP="00A13E67">
            <w:pPr>
              <w:pStyle w:val="muudetavtekst"/>
              <w:rPr>
                <w:rFonts w:asciiTheme="minorHAnsi" w:hAnsiTheme="minorHAnsi" w:cstheme="minorHAnsi"/>
              </w:rPr>
            </w:pPr>
            <w:r w:rsidRPr="000C72AE">
              <w:rPr>
                <w:rFonts w:asciiTheme="minorHAnsi" w:hAnsiTheme="minorHAnsi" w:cstheme="minorHAnsi"/>
              </w:rPr>
              <w:t>n</w:t>
            </w:r>
            <w:r>
              <w:rPr>
                <w:rFonts w:asciiTheme="minorHAnsi" w:hAnsiTheme="minorHAnsi" w:cstheme="minorHAnsi"/>
              </w:rPr>
              <w:t>t</w:t>
            </w:r>
            <w:r w:rsidRPr="000C72AE">
              <w:rPr>
                <w:rFonts w:asciiTheme="minorHAnsi" w:hAnsiTheme="minorHAnsi" w:cstheme="minorHAnsi"/>
              </w:rPr>
              <w:t xml:space="preserve"> koolid), mis hõlmab otsuseid kütte-, ventilatsiooni- ja kliimaseadmete kohta</w:t>
            </w:r>
          </w:p>
        </w:tc>
        <w:tc>
          <w:tcPr>
            <w:tcW w:w="3309" w:type="dxa"/>
          </w:tcPr>
          <w:p w14:paraId="2DC528B7" w14:textId="77777777" w:rsidR="00B731C3" w:rsidRPr="005744AD" w:rsidRDefault="00B731C3" w:rsidP="00A13E67">
            <w:pPr>
              <w:pStyle w:val="muudetavtekst"/>
              <w:jc w:val="left"/>
              <w:rPr>
                <w:rFonts w:asciiTheme="minorHAnsi" w:hAnsiTheme="minorHAnsi" w:cstheme="minorHAnsi"/>
              </w:rPr>
            </w:pPr>
            <w:r>
              <w:rPr>
                <w:rFonts w:asciiTheme="minorHAnsi" w:hAnsiTheme="minorHAnsi" w:cstheme="minorHAnsi"/>
              </w:rPr>
              <w:t xml:space="preserve">- </w:t>
            </w:r>
            <w:r w:rsidRPr="005744AD">
              <w:rPr>
                <w:rFonts w:asciiTheme="minorHAnsi" w:hAnsiTheme="minorHAnsi" w:cstheme="minorHAnsi"/>
              </w:rPr>
              <w:t>olemasolevate hoonete energiatõhusaks renoveerimine</w:t>
            </w:r>
          </w:p>
          <w:p w14:paraId="7FB7BA3C" w14:textId="77777777" w:rsidR="00B731C3" w:rsidRPr="005744AD" w:rsidRDefault="00B731C3" w:rsidP="00A13E67">
            <w:pPr>
              <w:pStyle w:val="muudetavtekst"/>
              <w:jc w:val="left"/>
              <w:rPr>
                <w:rFonts w:asciiTheme="minorHAnsi" w:hAnsiTheme="minorHAnsi" w:cstheme="minorHAnsi"/>
              </w:rPr>
            </w:pPr>
            <w:r>
              <w:rPr>
                <w:rFonts w:asciiTheme="minorHAnsi" w:hAnsiTheme="minorHAnsi" w:cstheme="minorHAnsi"/>
              </w:rPr>
              <w:t>-</w:t>
            </w:r>
            <w:r w:rsidRPr="005744AD">
              <w:rPr>
                <w:rFonts w:asciiTheme="minorHAnsi" w:hAnsiTheme="minorHAnsi" w:cstheme="minorHAnsi"/>
              </w:rPr>
              <w:t xml:space="preserve"> olemasolevate (kasutuseta) hoonete kaardistamine enne uute ehitamist</w:t>
            </w:r>
          </w:p>
          <w:p w14:paraId="4670941F" w14:textId="77777777" w:rsidR="00B731C3" w:rsidRPr="005744AD" w:rsidRDefault="00B731C3" w:rsidP="00A13E67">
            <w:pPr>
              <w:pStyle w:val="muudetavtekst"/>
              <w:jc w:val="left"/>
              <w:rPr>
                <w:rFonts w:asciiTheme="minorHAnsi" w:hAnsiTheme="minorHAnsi" w:cstheme="minorHAnsi"/>
              </w:rPr>
            </w:pPr>
            <w:r>
              <w:rPr>
                <w:rFonts w:asciiTheme="minorHAnsi" w:hAnsiTheme="minorHAnsi" w:cstheme="minorHAnsi"/>
              </w:rPr>
              <w:t>-</w:t>
            </w:r>
            <w:r w:rsidRPr="005744AD">
              <w:rPr>
                <w:rFonts w:asciiTheme="minorHAnsi" w:hAnsiTheme="minorHAnsi" w:cstheme="minorHAnsi"/>
              </w:rPr>
              <w:t xml:space="preserve"> energiatõhusate hoonete ehitamine (sh liginullenergiahooned, heitevabad hooned)</w:t>
            </w:r>
          </w:p>
          <w:p w14:paraId="67EF3AB5" w14:textId="77777777" w:rsidR="00B731C3" w:rsidRPr="005744AD" w:rsidRDefault="00B731C3" w:rsidP="00A13E67">
            <w:pPr>
              <w:pStyle w:val="muudetavtekst"/>
              <w:jc w:val="left"/>
              <w:rPr>
                <w:rFonts w:asciiTheme="minorHAnsi" w:hAnsiTheme="minorHAnsi" w:cstheme="minorHAnsi"/>
              </w:rPr>
            </w:pPr>
            <w:r>
              <w:rPr>
                <w:rFonts w:asciiTheme="minorHAnsi" w:hAnsiTheme="minorHAnsi" w:cstheme="minorHAnsi"/>
              </w:rPr>
              <w:t>-</w:t>
            </w:r>
            <w:r w:rsidRPr="005744AD">
              <w:rPr>
                <w:rFonts w:asciiTheme="minorHAnsi" w:hAnsiTheme="minorHAnsi" w:cstheme="minorHAnsi"/>
              </w:rPr>
              <w:t xml:space="preserve"> hoonete automaatika- ja juhtimissüsteemid (nt arukad termostaadid, </w:t>
            </w:r>
            <w:r>
              <w:rPr>
                <w:rFonts w:asciiTheme="minorHAnsi" w:hAnsiTheme="minorHAnsi" w:cstheme="minorHAnsi"/>
              </w:rPr>
              <w:t>k</w:t>
            </w:r>
            <w:r w:rsidRPr="005744AD">
              <w:rPr>
                <w:rFonts w:asciiTheme="minorHAnsi" w:hAnsiTheme="minorHAnsi" w:cstheme="minorHAnsi"/>
              </w:rPr>
              <w:t>ohalolekuandurid)</w:t>
            </w:r>
          </w:p>
          <w:p w14:paraId="5FAC1C9A" w14:textId="77777777" w:rsidR="00B731C3" w:rsidRPr="005744AD" w:rsidRDefault="00B731C3" w:rsidP="00A13E67">
            <w:pPr>
              <w:pStyle w:val="muudetavtekst"/>
              <w:jc w:val="left"/>
              <w:rPr>
                <w:rFonts w:asciiTheme="minorHAnsi" w:hAnsiTheme="minorHAnsi" w:cstheme="minorHAnsi"/>
              </w:rPr>
            </w:pPr>
            <w:r>
              <w:rPr>
                <w:rFonts w:asciiTheme="minorHAnsi" w:hAnsiTheme="minorHAnsi" w:cstheme="minorHAnsi"/>
              </w:rPr>
              <w:lastRenderedPageBreak/>
              <w:t>-</w:t>
            </w:r>
            <w:r w:rsidRPr="005744AD">
              <w:rPr>
                <w:rFonts w:asciiTheme="minorHAnsi" w:hAnsiTheme="minorHAnsi" w:cstheme="minorHAnsi"/>
              </w:rPr>
              <w:t xml:space="preserve"> tõhusad küttesüsteemid (nt soojuspumbad, kaugküte)</w:t>
            </w:r>
          </w:p>
          <w:p w14:paraId="68D21A88" w14:textId="77777777" w:rsidR="00B731C3" w:rsidRPr="005744AD" w:rsidRDefault="00B731C3" w:rsidP="00A13E67">
            <w:pPr>
              <w:pStyle w:val="muudetavtekst"/>
              <w:jc w:val="left"/>
              <w:rPr>
                <w:rFonts w:asciiTheme="minorHAnsi" w:hAnsiTheme="minorHAnsi" w:cstheme="minorHAnsi"/>
              </w:rPr>
            </w:pPr>
            <w:r>
              <w:rPr>
                <w:rFonts w:asciiTheme="minorHAnsi" w:hAnsiTheme="minorHAnsi" w:cstheme="minorHAnsi"/>
              </w:rPr>
              <w:t>-</w:t>
            </w:r>
            <w:r w:rsidRPr="005744AD">
              <w:rPr>
                <w:rFonts w:asciiTheme="minorHAnsi" w:hAnsiTheme="minorHAnsi" w:cstheme="minorHAnsi"/>
              </w:rPr>
              <w:t xml:space="preserve"> passiivsed jahutuslahendused (nt päikesevarjud, termiline mass, öine jahutus, loomulik </w:t>
            </w:r>
          </w:p>
          <w:p w14:paraId="5F50C466" w14:textId="77777777" w:rsidR="00B731C3" w:rsidRPr="005744AD" w:rsidRDefault="00B731C3" w:rsidP="00A13E67">
            <w:pPr>
              <w:pStyle w:val="muudetavtekst"/>
              <w:jc w:val="left"/>
              <w:rPr>
                <w:rFonts w:asciiTheme="minorHAnsi" w:hAnsiTheme="minorHAnsi" w:cstheme="minorHAnsi"/>
              </w:rPr>
            </w:pPr>
            <w:r w:rsidRPr="005744AD">
              <w:rPr>
                <w:rFonts w:asciiTheme="minorHAnsi" w:hAnsiTheme="minorHAnsi" w:cstheme="minorHAnsi"/>
              </w:rPr>
              <w:t>ventilatsioon ja valgustus)</w:t>
            </w:r>
          </w:p>
          <w:p w14:paraId="388B5399" w14:textId="77777777" w:rsidR="00B731C3" w:rsidRPr="005744AD" w:rsidRDefault="00B731C3" w:rsidP="00A13E67">
            <w:pPr>
              <w:pStyle w:val="muudetavtekst"/>
              <w:jc w:val="left"/>
              <w:rPr>
                <w:rFonts w:asciiTheme="minorHAnsi" w:hAnsiTheme="minorHAnsi" w:cstheme="minorHAnsi"/>
              </w:rPr>
            </w:pPr>
            <w:r>
              <w:rPr>
                <w:rFonts w:asciiTheme="minorHAnsi" w:hAnsiTheme="minorHAnsi" w:cstheme="minorHAnsi"/>
              </w:rPr>
              <w:t>-</w:t>
            </w:r>
            <w:r w:rsidRPr="005744AD">
              <w:rPr>
                <w:rFonts w:asciiTheme="minorHAnsi" w:hAnsiTheme="minorHAnsi" w:cstheme="minorHAnsi"/>
              </w:rPr>
              <w:t xml:space="preserve"> energiatõhus valgustus ja energiatõhusad seadmed</w:t>
            </w:r>
          </w:p>
          <w:p w14:paraId="5412E68D" w14:textId="77777777" w:rsidR="00B731C3" w:rsidRPr="005744AD" w:rsidRDefault="00B731C3" w:rsidP="00A13E67">
            <w:pPr>
              <w:pStyle w:val="muudetavtekst"/>
              <w:jc w:val="left"/>
              <w:rPr>
                <w:rFonts w:asciiTheme="minorHAnsi" w:hAnsiTheme="minorHAnsi" w:cstheme="minorHAnsi"/>
              </w:rPr>
            </w:pPr>
            <w:r>
              <w:rPr>
                <w:rFonts w:asciiTheme="minorHAnsi" w:hAnsiTheme="minorHAnsi" w:cstheme="minorHAnsi"/>
              </w:rPr>
              <w:t>-</w:t>
            </w:r>
            <w:r w:rsidRPr="005744AD">
              <w:rPr>
                <w:rFonts w:asciiTheme="minorHAnsi" w:hAnsiTheme="minorHAnsi" w:cstheme="minorHAnsi"/>
              </w:rPr>
              <w:t xml:space="preserve"> taastuvenergia integreerimine (nt päikeseelekter, päikese soojusenergia)</w:t>
            </w:r>
          </w:p>
          <w:p w14:paraId="7423A47C" w14:textId="77777777" w:rsidR="00B731C3" w:rsidRPr="005744AD" w:rsidRDefault="00B731C3" w:rsidP="00A13E67">
            <w:pPr>
              <w:pStyle w:val="muudetavtekst"/>
              <w:jc w:val="left"/>
              <w:rPr>
                <w:rFonts w:asciiTheme="minorHAnsi" w:hAnsiTheme="minorHAnsi" w:cstheme="minorHAnsi"/>
              </w:rPr>
            </w:pPr>
            <w:r>
              <w:rPr>
                <w:rFonts w:asciiTheme="minorHAnsi" w:hAnsiTheme="minorHAnsi" w:cstheme="minorHAnsi"/>
              </w:rPr>
              <w:t>-</w:t>
            </w:r>
            <w:r w:rsidRPr="005744AD">
              <w:rPr>
                <w:rFonts w:asciiTheme="minorHAnsi" w:hAnsiTheme="minorHAnsi" w:cstheme="minorHAnsi"/>
              </w:rPr>
              <w:t xml:space="preserve"> energiakasutusharjumuste muutmine</w:t>
            </w:r>
          </w:p>
          <w:p w14:paraId="166A0D27" w14:textId="77777777" w:rsidR="00B731C3" w:rsidRDefault="00B731C3" w:rsidP="00A13E67">
            <w:pPr>
              <w:pStyle w:val="muudetavtekst"/>
              <w:jc w:val="left"/>
              <w:rPr>
                <w:rFonts w:asciiTheme="minorHAnsi" w:hAnsiTheme="minorHAnsi" w:cstheme="minorHAnsi"/>
              </w:rPr>
            </w:pPr>
            <w:r>
              <w:rPr>
                <w:rFonts w:asciiTheme="minorHAnsi" w:hAnsiTheme="minorHAnsi" w:cstheme="minorHAnsi"/>
              </w:rPr>
              <w:t>-</w:t>
            </w:r>
            <w:r w:rsidRPr="005744AD">
              <w:rPr>
                <w:rFonts w:asciiTheme="minorHAnsi" w:hAnsiTheme="minorHAnsi" w:cstheme="minorHAnsi"/>
              </w:rPr>
              <w:t xml:space="preserve"> nutilaadimissüsteemid</w:t>
            </w:r>
          </w:p>
        </w:tc>
      </w:tr>
      <w:tr w:rsidR="00B731C3" w14:paraId="3E0E7F82" w14:textId="77777777" w:rsidTr="00A13E67">
        <w:tc>
          <w:tcPr>
            <w:tcW w:w="1643" w:type="dxa"/>
          </w:tcPr>
          <w:p w14:paraId="4D3E1320" w14:textId="77777777" w:rsidR="00B731C3" w:rsidRDefault="00B731C3" w:rsidP="00A13E67">
            <w:pPr>
              <w:pStyle w:val="muudetavtekst"/>
              <w:jc w:val="left"/>
              <w:rPr>
                <w:rFonts w:asciiTheme="minorHAnsi" w:hAnsiTheme="minorHAnsi" w:cstheme="minorHAnsi"/>
              </w:rPr>
            </w:pPr>
            <w:r w:rsidRPr="00607378">
              <w:rPr>
                <w:rFonts w:asciiTheme="minorHAnsi" w:hAnsiTheme="minorHAnsi" w:cstheme="minorHAnsi"/>
              </w:rPr>
              <w:lastRenderedPageBreak/>
              <w:t>Transport</w:t>
            </w:r>
          </w:p>
        </w:tc>
        <w:tc>
          <w:tcPr>
            <w:tcW w:w="4110" w:type="dxa"/>
          </w:tcPr>
          <w:p w14:paraId="61708DF6" w14:textId="77777777" w:rsidR="00B731C3" w:rsidRPr="00607378" w:rsidRDefault="00B731C3" w:rsidP="00A13E67">
            <w:pPr>
              <w:pStyle w:val="muudetavtekst"/>
              <w:jc w:val="left"/>
              <w:rPr>
                <w:rFonts w:asciiTheme="minorHAnsi" w:hAnsiTheme="minorHAnsi" w:cstheme="minorHAnsi"/>
              </w:rPr>
            </w:pPr>
            <w:r w:rsidRPr="00607378">
              <w:rPr>
                <w:rFonts w:asciiTheme="minorHAnsi" w:hAnsiTheme="minorHAnsi" w:cstheme="minorHAnsi"/>
              </w:rPr>
              <w:t xml:space="preserve">peamine transporditaristu (nt kiirteed, </w:t>
            </w:r>
          </w:p>
          <w:p w14:paraId="36030051" w14:textId="77777777" w:rsidR="00B731C3" w:rsidRPr="000C72AE" w:rsidRDefault="00B731C3" w:rsidP="00A13E67">
            <w:pPr>
              <w:pStyle w:val="muudetavtekst"/>
              <w:jc w:val="left"/>
              <w:rPr>
                <w:rFonts w:asciiTheme="minorHAnsi" w:hAnsiTheme="minorHAnsi" w:cstheme="minorHAnsi"/>
              </w:rPr>
            </w:pPr>
            <w:r w:rsidRPr="00607378">
              <w:rPr>
                <w:rFonts w:asciiTheme="minorHAnsi" w:hAnsiTheme="minorHAnsi" w:cstheme="minorHAnsi"/>
              </w:rPr>
              <w:t>raudteed, lennujaamad, sadamad ja mer</w:t>
            </w:r>
            <w:r>
              <w:rPr>
                <w:rFonts w:asciiTheme="minorHAnsi" w:hAnsiTheme="minorHAnsi" w:cstheme="minorHAnsi"/>
              </w:rPr>
              <w:t>e</w:t>
            </w:r>
            <w:r w:rsidRPr="00607378">
              <w:rPr>
                <w:rFonts w:asciiTheme="minorHAnsi" w:hAnsiTheme="minorHAnsi" w:cstheme="minorHAnsi"/>
              </w:rPr>
              <w:t>transporditaristu</w:t>
            </w:r>
            <w:r>
              <w:rPr>
                <w:rFonts w:asciiTheme="minorHAnsi" w:hAnsiTheme="minorHAnsi" w:cstheme="minorHAnsi"/>
              </w:rPr>
              <w:t xml:space="preserve">) </w:t>
            </w:r>
          </w:p>
        </w:tc>
        <w:tc>
          <w:tcPr>
            <w:tcW w:w="3309" w:type="dxa"/>
          </w:tcPr>
          <w:p w14:paraId="2C2FF71F" w14:textId="77777777" w:rsidR="00B731C3" w:rsidRPr="0015157E" w:rsidRDefault="00B731C3" w:rsidP="00A13E67">
            <w:pPr>
              <w:pStyle w:val="muudetavtekst"/>
              <w:jc w:val="left"/>
              <w:rPr>
                <w:rFonts w:asciiTheme="minorHAnsi" w:hAnsiTheme="minorHAnsi" w:cstheme="minorHAnsi"/>
              </w:rPr>
            </w:pPr>
            <w:r w:rsidRPr="0015157E">
              <w:rPr>
                <w:rFonts w:asciiTheme="minorHAnsi" w:hAnsiTheme="minorHAnsi" w:cstheme="minorHAnsi"/>
              </w:rPr>
              <w:t>ühistransport (nt linna- ja linnalähiliinid, linnadevahelised raudteeühendused, bussipargid)</w:t>
            </w:r>
          </w:p>
          <w:p w14:paraId="472835FB" w14:textId="77777777" w:rsidR="00B731C3" w:rsidRPr="0015157E" w:rsidRDefault="00B731C3" w:rsidP="00A13E67">
            <w:pPr>
              <w:pStyle w:val="muudetavtekst"/>
              <w:jc w:val="left"/>
              <w:rPr>
                <w:rFonts w:asciiTheme="minorHAnsi" w:hAnsiTheme="minorHAnsi" w:cstheme="minorHAnsi"/>
              </w:rPr>
            </w:pPr>
            <w:r>
              <w:rPr>
                <w:rFonts w:asciiTheme="minorHAnsi" w:hAnsiTheme="minorHAnsi" w:cstheme="minorHAnsi"/>
              </w:rPr>
              <w:t>-</w:t>
            </w:r>
            <w:r w:rsidRPr="0015157E">
              <w:rPr>
                <w:rFonts w:asciiTheme="minorHAnsi" w:hAnsiTheme="minorHAnsi" w:cstheme="minorHAnsi"/>
              </w:rPr>
              <w:t xml:space="preserve"> jalgratturitele ja jalakäijatele mõeldud taristu (nt jalgrattateed, rattaringlus)</w:t>
            </w:r>
          </w:p>
          <w:p w14:paraId="6CABB03A" w14:textId="77777777" w:rsidR="00B731C3" w:rsidRPr="0015157E" w:rsidRDefault="00B731C3" w:rsidP="00A13E67">
            <w:pPr>
              <w:pStyle w:val="muudetavtekst"/>
              <w:jc w:val="left"/>
              <w:rPr>
                <w:rFonts w:asciiTheme="minorHAnsi" w:hAnsiTheme="minorHAnsi" w:cstheme="minorHAnsi"/>
              </w:rPr>
            </w:pPr>
            <w:r>
              <w:rPr>
                <w:rFonts w:asciiTheme="minorHAnsi" w:hAnsiTheme="minorHAnsi" w:cstheme="minorHAnsi"/>
              </w:rPr>
              <w:t>-</w:t>
            </w:r>
            <w:r w:rsidRPr="0015157E">
              <w:rPr>
                <w:rFonts w:asciiTheme="minorHAnsi" w:hAnsiTheme="minorHAnsi" w:cstheme="minorHAnsi"/>
              </w:rPr>
              <w:t xml:space="preserve"> veoste koondamine</w:t>
            </w:r>
          </w:p>
          <w:p w14:paraId="11949D4E" w14:textId="77777777" w:rsidR="00B731C3" w:rsidRPr="0015157E" w:rsidRDefault="00B731C3" w:rsidP="00A13E67">
            <w:pPr>
              <w:pStyle w:val="muudetavtekst"/>
              <w:jc w:val="left"/>
              <w:rPr>
                <w:rFonts w:asciiTheme="minorHAnsi" w:hAnsiTheme="minorHAnsi" w:cstheme="minorHAnsi"/>
              </w:rPr>
            </w:pPr>
            <w:r>
              <w:rPr>
                <w:rFonts w:asciiTheme="minorHAnsi" w:hAnsiTheme="minorHAnsi" w:cstheme="minorHAnsi"/>
              </w:rPr>
              <w:t>-</w:t>
            </w:r>
            <w:r w:rsidRPr="0015157E">
              <w:rPr>
                <w:rFonts w:asciiTheme="minorHAnsi" w:hAnsiTheme="minorHAnsi" w:cstheme="minorHAnsi"/>
              </w:rPr>
              <w:t xml:space="preserve"> liikuvuskorraldus (nt ühisautode kasutamise programmid, stiimulid sõidukites sõitjate arvu suurendamiseks)</w:t>
            </w:r>
          </w:p>
          <w:p w14:paraId="0D63731C" w14:textId="77777777" w:rsidR="00B731C3" w:rsidRPr="0015157E" w:rsidRDefault="00B731C3" w:rsidP="00A13E67">
            <w:pPr>
              <w:pStyle w:val="muudetavtekst"/>
              <w:jc w:val="left"/>
              <w:rPr>
                <w:rFonts w:asciiTheme="minorHAnsi" w:hAnsiTheme="minorHAnsi" w:cstheme="minorHAnsi"/>
              </w:rPr>
            </w:pPr>
            <w:r>
              <w:rPr>
                <w:rFonts w:asciiTheme="minorHAnsi" w:hAnsiTheme="minorHAnsi" w:cstheme="minorHAnsi"/>
              </w:rPr>
              <w:t>-</w:t>
            </w:r>
            <w:r w:rsidRPr="0015157E">
              <w:rPr>
                <w:rFonts w:asciiTheme="minorHAnsi" w:hAnsiTheme="minorHAnsi" w:cstheme="minorHAnsi"/>
              </w:rPr>
              <w:t xml:space="preserve"> mitmeliigilise (kombineeritud) transpordi toetamine</w:t>
            </w:r>
          </w:p>
          <w:p w14:paraId="3B43AE5F" w14:textId="77777777" w:rsidR="00B731C3" w:rsidRPr="0015157E" w:rsidRDefault="00B731C3" w:rsidP="00A13E67">
            <w:pPr>
              <w:pStyle w:val="muudetavtekst"/>
              <w:jc w:val="left"/>
              <w:rPr>
                <w:rFonts w:asciiTheme="minorHAnsi" w:hAnsiTheme="minorHAnsi" w:cstheme="minorHAnsi"/>
              </w:rPr>
            </w:pPr>
            <w:r>
              <w:rPr>
                <w:rFonts w:asciiTheme="minorHAnsi" w:hAnsiTheme="minorHAnsi" w:cstheme="minorHAnsi"/>
              </w:rPr>
              <w:t>-</w:t>
            </w:r>
            <w:r w:rsidRPr="0015157E">
              <w:rPr>
                <w:rFonts w:asciiTheme="minorHAnsi" w:hAnsiTheme="minorHAnsi" w:cstheme="minorHAnsi"/>
              </w:rPr>
              <w:t xml:space="preserve"> energiatõhusate transpordiliikide suuremat kasutamist soodustavad meetmed</w:t>
            </w:r>
          </w:p>
          <w:p w14:paraId="2E854B01" w14:textId="77777777" w:rsidR="00B731C3" w:rsidRPr="0015157E" w:rsidRDefault="00B731C3" w:rsidP="00A13E67">
            <w:pPr>
              <w:pStyle w:val="muudetavtekst"/>
              <w:jc w:val="left"/>
              <w:rPr>
                <w:rFonts w:asciiTheme="minorHAnsi" w:hAnsiTheme="minorHAnsi" w:cstheme="minorHAnsi"/>
              </w:rPr>
            </w:pPr>
            <w:r>
              <w:rPr>
                <w:rFonts w:asciiTheme="minorHAnsi" w:hAnsiTheme="minorHAnsi" w:cstheme="minorHAnsi"/>
              </w:rPr>
              <w:t>-</w:t>
            </w:r>
            <w:r w:rsidRPr="0015157E">
              <w:rPr>
                <w:rFonts w:asciiTheme="minorHAnsi" w:hAnsiTheme="minorHAnsi" w:cstheme="minorHAnsi"/>
              </w:rPr>
              <w:t xml:space="preserve"> sõidukipargi elektrifitseerimine</w:t>
            </w:r>
          </w:p>
          <w:p w14:paraId="4A9B2CB2" w14:textId="77777777" w:rsidR="00B731C3" w:rsidRPr="005744AD" w:rsidRDefault="00B731C3" w:rsidP="00A13E67">
            <w:pPr>
              <w:pStyle w:val="muudetavtekst"/>
              <w:jc w:val="left"/>
              <w:rPr>
                <w:rFonts w:asciiTheme="minorHAnsi" w:hAnsiTheme="minorHAnsi" w:cstheme="minorHAnsi"/>
              </w:rPr>
            </w:pPr>
            <w:r>
              <w:rPr>
                <w:rFonts w:asciiTheme="minorHAnsi" w:hAnsiTheme="minorHAnsi" w:cstheme="minorHAnsi"/>
              </w:rPr>
              <w:t>-</w:t>
            </w:r>
            <w:r w:rsidRPr="0015157E">
              <w:rPr>
                <w:rFonts w:asciiTheme="minorHAnsi" w:hAnsiTheme="minorHAnsi" w:cstheme="minorHAnsi"/>
              </w:rPr>
              <w:t xml:space="preserve"> elektrisõidukite laadimistaristu</w:t>
            </w:r>
          </w:p>
        </w:tc>
      </w:tr>
      <w:tr w:rsidR="00B731C3" w14:paraId="65E917D7" w14:textId="77777777" w:rsidTr="00A13E67">
        <w:tc>
          <w:tcPr>
            <w:tcW w:w="1643" w:type="dxa"/>
          </w:tcPr>
          <w:p w14:paraId="4D3E65B5" w14:textId="77777777" w:rsidR="00B731C3" w:rsidRPr="00607378" w:rsidRDefault="00B731C3" w:rsidP="00A13E67">
            <w:pPr>
              <w:pStyle w:val="muudetavtekst"/>
              <w:jc w:val="left"/>
              <w:rPr>
                <w:rFonts w:asciiTheme="minorHAnsi" w:hAnsiTheme="minorHAnsi" w:cstheme="minorHAnsi"/>
              </w:rPr>
            </w:pPr>
            <w:r w:rsidRPr="00306C18">
              <w:rPr>
                <w:rFonts w:asciiTheme="minorHAnsi" w:hAnsiTheme="minorHAnsi" w:cstheme="minorHAnsi"/>
              </w:rPr>
              <w:t>Tööstus</w:t>
            </w:r>
          </w:p>
        </w:tc>
        <w:tc>
          <w:tcPr>
            <w:tcW w:w="4110" w:type="dxa"/>
          </w:tcPr>
          <w:p w14:paraId="6DD0B588" w14:textId="77777777" w:rsidR="00B731C3" w:rsidRPr="00306C18" w:rsidRDefault="00B731C3" w:rsidP="00A13E67">
            <w:pPr>
              <w:pStyle w:val="muudetavtekst"/>
              <w:jc w:val="left"/>
              <w:rPr>
                <w:rFonts w:asciiTheme="minorHAnsi" w:hAnsiTheme="minorHAnsi" w:cstheme="minorHAnsi"/>
              </w:rPr>
            </w:pPr>
            <w:r>
              <w:rPr>
                <w:rFonts w:asciiTheme="minorHAnsi" w:hAnsiTheme="minorHAnsi" w:cstheme="minorHAnsi"/>
              </w:rPr>
              <w:t xml:space="preserve">- </w:t>
            </w:r>
            <w:r w:rsidRPr="00306C18">
              <w:rPr>
                <w:rFonts w:asciiTheme="minorHAnsi" w:hAnsiTheme="minorHAnsi" w:cstheme="minorHAnsi"/>
              </w:rPr>
              <w:t>uute tööstusobjektide ehitamine</w:t>
            </w:r>
          </w:p>
          <w:p w14:paraId="7AD10801" w14:textId="77777777" w:rsidR="00B731C3" w:rsidRPr="00607378" w:rsidRDefault="00B731C3" w:rsidP="00A13E67">
            <w:pPr>
              <w:pStyle w:val="muudetavtekst"/>
              <w:jc w:val="left"/>
              <w:rPr>
                <w:rFonts w:asciiTheme="minorHAnsi" w:hAnsiTheme="minorHAnsi" w:cstheme="minorBidi"/>
              </w:rPr>
            </w:pPr>
            <w:r>
              <w:rPr>
                <w:rFonts w:asciiTheme="minorHAnsi" w:hAnsiTheme="minorHAnsi" w:cstheme="minorBidi"/>
              </w:rPr>
              <w:t>-</w:t>
            </w:r>
            <w:r w:rsidRPr="57490200">
              <w:rPr>
                <w:rFonts w:asciiTheme="minorHAnsi" w:hAnsiTheme="minorHAnsi" w:cstheme="minorBidi"/>
              </w:rPr>
              <w:t xml:space="preserve"> uute kütuste ja energiat tarbivate protsesside kasutamine</w:t>
            </w:r>
            <w:r>
              <w:rPr>
                <w:rFonts w:asciiTheme="minorHAnsi" w:hAnsiTheme="minorHAnsi" w:cstheme="minorBidi"/>
              </w:rPr>
              <w:t xml:space="preserve"> (näiteks biogaas, vesinik ja heitsoojuse kasutamine)</w:t>
            </w:r>
          </w:p>
        </w:tc>
        <w:tc>
          <w:tcPr>
            <w:tcW w:w="3309" w:type="dxa"/>
          </w:tcPr>
          <w:p w14:paraId="402D1A41" w14:textId="77777777" w:rsidR="00B731C3" w:rsidRPr="00763CC8" w:rsidRDefault="00B731C3" w:rsidP="00A13E67">
            <w:pPr>
              <w:pStyle w:val="muudetavtekst"/>
              <w:jc w:val="left"/>
              <w:rPr>
                <w:rFonts w:asciiTheme="minorHAnsi" w:hAnsiTheme="minorHAnsi" w:cstheme="minorHAnsi"/>
              </w:rPr>
            </w:pPr>
            <w:r>
              <w:rPr>
                <w:rFonts w:asciiTheme="minorHAnsi" w:hAnsiTheme="minorHAnsi" w:cstheme="minorHAnsi"/>
              </w:rPr>
              <w:t xml:space="preserve">- </w:t>
            </w:r>
            <w:r w:rsidRPr="00763CC8">
              <w:rPr>
                <w:rFonts w:asciiTheme="minorHAnsi" w:hAnsiTheme="minorHAnsi" w:cstheme="minorHAnsi"/>
              </w:rPr>
              <w:t>tööstussektori tõhusa lõimimise ja klasterdamise edendamine kohalikul tasandil</w:t>
            </w:r>
          </w:p>
          <w:p w14:paraId="1D550E40" w14:textId="77777777" w:rsidR="00B731C3" w:rsidRPr="00763CC8" w:rsidRDefault="00B731C3" w:rsidP="00A13E67">
            <w:pPr>
              <w:pStyle w:val="muudetavtekst"/>
              <w:jc w:val="left"/>
              <w:rPr>
                <w:rFonts w:asciiTheme="minorHAnsi" w:hAnsiTheme="minorHAnsi" w:cstheme="minorHAnsi"/>
              </w:rPr>
            </w:pPr>
            <w:r>
              <w:rPr>
                <w:rFonts w:asciiTheme="minorHAnsi" w:hAnsiTheme="minorHAnsi" w:cstheme="minorHAnsi"/>
              </w:rPr>
              <w:t>-</w:t>
            </w:r>
            <w:r w:rsidRPr="00763CC8">
              <w:rPr>
                <w:rFonts w:asciiTheme="minorHAnsi" w:hAnsiTheme="minorHAnsi" w:cstheme="minorHAnsi"/>
              </w:rPr>
              <w:t xml:space="preserve"> paindlik töö, kasutades tarbimiskaja ja oma tarbeks toodetud energiat</w:t>
            </w:r>
          </w:p>
          <w:p w14:paraId="63107089" w14:textId="77777777" w:rsidR="00B731C3" w:rsidRPr="00763CC8" w:rsidRDefault="00B731C3" w:rsidP="00A13E67">
            <w:pPr>
              <w:pStyle w:val="muudetavtekst"/>
              <w:jc w:val="left"/>
              <w:rPr>
                <w:rFonts w:asciiTheme="minorHAnsi" w:hAnsiTheme="minorHAnsi" w:cstheme="minorHAnsi"/>
              </w:rPr>
            </w:pPr>
            <w:r>
              <w:rPr>
                <w:rFonts w:asciiTheme="minorHAnsi" w:hAnsiTheme="minorHAnsi" w:cstheme="minorHAnsi"/>
              </w:rPr>
              <w:t>-</w:t>
            </w:r>
            <w:r w:rsidRPr="00763CC8">
              <w:rPr>
                <w:rFonts w:asciiTheme="minorHAnsi" w:hAnsiTheme="minorHAnsi" w:cstheme="minorHAnsi"/>
              </w:rPr>
              <w:t xml:space="preserve"> heitsoojuse ja -jahutuse korduskasutus</w:t>
            </w:r>
          </w:p>
          <w:p w14:paraId="08BA15F5" w14:textId="77777777" w:rsidR="00B731C3" w:rsidRPr="0015157E" w:rsidRDefault="00B731C3" w:rsidP="00A13E67">
            <w:pPr>
              <w:pStyle w:val="muudetavtekst"/>
              <w:jc w:val="left"/>
              <w:rPr>
                <w:rFonts w:asciiTheme="minorHAnsi" w:hAnsiTheme="minorHAnsi" w:cstheme="minorHAnsi"/>
              </w:rPr>
            </w:pPr>
            <w:r>
              <w:rPr>
                <w:rFonts w:asciiTheme="minorHAnsi" w:hAnsiTheme="minorHAnsi" w:cstheme="minorHAnsi"/>
              </w:rPr>
              <w:t>-</w:t>
            </w:r>
            <w:r w:rsidRPr="00763CC8">
              <w:rPr>
                <w:rFonts w:asciiTheme="minorHAnsi" w:hAnsiTheme="minorHAnsi" w:cstheme="minorHAnsi"/>
              </w:rPr>
              <w:t xml:space="preserve"> elektrifitseerimine ja kütuste igal juhul kasulikud kasutusviisid</w:t>
            </w:r>
          </w:p>
        </w:tc>
      </w:tr>
      <w:tr w:rsidR="00B731C3" w14:paraId="06F6AD4B" w14:textId="77777777" w:rsidTr="00A13E67">
        <w:tc>
          <w:tcPr>
            <w:tcW w:w="1643" w:type="dxa"/>
          </w:tcPr>
          <w:p w14:paraId="3A448A04" w14:textId="77777777" w:rsidR="00B731C3" w:rsidRPr="00306C18" w:rsidRDefault="00B731C3" w:rsidP="00A13E67">
            <w:pPr>
              <w:pStyle w:val="muudetavtekst"/>
              <w:jc w:val="left"/>
              <w:rPr>
                <w:rFonts w:asciiTheme="minorHAnsi" w:hAnsiTheme="minorHAnsi" w:cstheme="minorHAnsi"/>
              </w:rPr>
            </w:pPr>
            <w:r w:rsidRPr="00B0665B">
              <w:rPr>
                <w:rFonts w:asciiTheme="minorHAnsi" w:hAnsiTheme="minorHAnsi" w:cstheme="minorHAnsi"/>
              </w:rPr>
              <w:t>Vesi</w:t>
            </w:r>
          </w:p>
        </w:tc>
        <w:tc>
          <w:tcPr>
            <w:tcW w:w="4110" w:type="dxa"/>
          </w:tcPr>
          <w:p w14:paraId="726F9F68" w14:textId="77777777" w:rsidR="00B731C3" w:rsidRPr="00791AB1" w:rsidRDefault="00B731C3" w:rsidP="00A13E67">
            <w:pPr>
              <w:pStyle w:val="muudetavtekst"/>
              <w:jc w:val="left"/>
              <w:rPr>
                <w:rFonts w:asciiTheme="minorHAnsi" w:hAnsiTheme="minorHAnsi" w:cstheme="minorHAnsi"/>
              </w:rPr>
            </w:pPr>
            <w:r>
              <w:rPr>
                <w:rFonts w:asciiTheme="minorHAnsi" w:hAnsiTheme="minorHAnsi" w:cstheme="minorHAnsi"/>
              </w:rPr>
              <w:t xml:space="preserve">- </w:t>
            </w:r>
            <w:r w:rsidRPr="00791AB1">
              <w:rPr>
                <w:rFonts w:asciiTheme="minorHAnsi" w:hAnsiTheme="minorHAnsi" w:cstheme="minorHAnsi"/>
              </w:rPr>
              <w:t xml:space="preserve">veevarustus </w:t>
            </w:r>
            <w:r>
              <w:rPr>
                <w:rFonts w:asciiTheme="minorHAnsi" w:hAnsiTheme="minorHAnsi" w:cstheme="minorHAnsi"/>
              </w:rPr>
              <w:t xml:space="preserve">(veetöötlusjaamad) </w:t>
            </w:r>
          </w:p>
          <w:p w14:paraId="3F433E76" w14:textId="77777777" w:rsidR="00B731C3" w:rsidRPr="00791AB1" w:rsidRDefault="00B731C3" w:rsidP="00A13E67">
            <w:pPr>
              <w:pStyle w:val="muudetavtekst"/>
              <w:jc w:val="left"/>
              <w:rPr>
                <w:rFonts w:asciiTheme="minorHAnsi" w:hAnsiTheme="minorHAnsi" w:cstheme="minorHAnsi"/>
              </w:rPr>
            </w:pPr>
            <w:r>
              <w:rPr>
                <w:rFonts w:asciiTheme="minorHAnsi" w:hAnsiTheme="minorHAnsi" w:cstheme="minorHAnsi"/>
              </w:rPr>
              <w:t>-</w:t>
            </w:r>
            <w:r w:rsidRPr="00791AB1">
              <w:rPr>
                <w:rFonts w:asciiTheme="minorHAnsi" w:hAnsiTheme="minorHAnsi" w:cstheme="minorHAnsi"/>
              </w:rPr>
              <w:t xml:space="preserve"> reoveepuhastid</w:t>
            </w:r>
          </w:p>
          <w:p w14:paraId="11BFFB14" w14:textId="77777777" w:rsidR="00B731C3" w:rsidRPr="00306C18" w:rsidRDefault="00B731C3" w:rsidP="00A13E67">
            <w:pPr>
              <w:pStyle w:val="muudetavtekst"/>
              <w:jc w:val="left"/>
              <w:rPr>
                <w:rFonts w:asciiTheme="minorHAnsi" w:hAnsiTheme="minorHAnsi" w:cstheme="minorHAnsi"/>
              </w:rPr>
            </w:pPr>
            <w:r>
              <w:rPr>
                <w:rFonts w:asciiTheme="minorHAnsi" w:hAnsiTheme="minorHAnsi" w:cstheme="minorHAnsi"/>
              </w:rPr>
              <w:t>-</w:t>
            </w:r>
            <w:r w:rsidRPr="00791AB1">
              <w:rPr>
                <w:rFonts w:asciiTheme="minorHAnsi" w:hAnsiTheme="minorHAnsi" w:cstheme="minorHAnsi"/>
              </w:rPr>
              <w:t xml:space="preserve"> veevõrgud (nt torustik, pumbajaamad)</w:t>
            </w:r>
          </w:p>
        </w:tc>
        <w:tc>
          <w:tcPr>
            <w:tcW w:w="3309" w:type="dxa"/>
          </w:tcPr>
          <w:p w14:paraId="0D0FE950" w14:textId="77777777" w:rsidR="00B731C3" w:rsidRPr="00B82514" w:rsidRDefault="00B731C3" w:rsidP="00A13E67">
            <w:pPr>
              <w:pStyle w:val="muudetavtekst"/>
              <w:jc w:val="left"/>
              <w:rPr>
                <w:rFonts w:asciiTheme="minorHAnsi" w:hAnsiTheme="minorHAnsi" w:cstheme="minorHAnsi"/>
              </w:rPr>
            </w:pPr>
            <w:r>
              <w:rPr>
                <w:rFonts w:asciiTheme="minorHAnsi" w:hAnsiTheme="minorHAnsi" w:cstheme="minorHAnsi"/>
              </w:rPr>
              <w:t xml:space="preserve">- </w:t>
            </w:r>
            <w:r w:rsidRPr="00B82514">
              <w:rPr>
                <w:rFonts w:asciiTheme="minorHAnsi" w:hAnsiTheme="minorHAnsi" w:cstheme="minorHAnsi"/>
              </w:rPr>
              <w:t>vee säästmine (nt veesäästlikud põllumajandus</w:t>
            </w:r>
          </w:p>
          <w:p w14:paraId="36765AA2" w14:textId="77777777" w:rsidR="00B731C3" w:rsidRPr="00B82514" w:rsidRDefault="00B731C3" w:rsidP="00A13E67">
            <w:pPr>
              <w:pStyle w:val="muudetavtekst"/>
              <w:jc w:val="left"/>
              <w:rPr>
                <w:rFonts w:asciiTheme="minorHAnsi" w:hAnsiTheme="minorHAnsi" w:cstheme="minorHAnsi"/>
              </w:rPr>
            </w:pPr>
            <w:r w:rsidRPr="00B82514">
              <w:rPr>
                <w:rFonts w:asciiTheme="minorHAnsi" w:hAnsiTheme="minorHAnsi" w:cstheme="minorHAnsi"/>
              </w:rPr>
              <w:t>tavad)</w:t>
            </w:r>
          </w:p>
          <w:p w14:paraId="757FD802" w14:textId="77777777" w:rsidR="00B731C3" w:rsidRPr="00B82514" w:rsidRDefault="00B731C3" w:rsidP="00A13E67">
            <w:pPr>
              <w:pStyle w:val="muudetavtekst"/>
              <w:jc w:val="left"/>
              <w:rPr>
                <w:rFonts w:asciiTheme="minorHAnsi" w:hAnsiTheme="minorHAnsi" w:cstheme="minorHAnsi"/>
              </w:rPr>
            </w:pPr>
            <w:r>
              <w:rPr>
                <w:rFonts w:asciiTheme="minorHAnsi" w:hAnsiTheme="minorHAnsi" w:cstheme="minorHAnsi"/>
              </w:rPr>
              <w:lastRenderedPageBreak/>
              <w:t>-</w:t>
            </w:r>
            <w:r w:rsidRPr="00B82514">
              <w:rPr>
                <w:rFonts w:asciiTheme="minorHAnsi" w:hAnsiTheme="minorHAnsi" w:cstheme="minorHAnsi"/>
              </w:rPr>
              <w:t xml:space="preserve"> energiatõhusad pumbad, mootorid ja puhastusseadmed</w:t>
            </w:r>
          </w:p>
          <w:p w14:paraId="448EB8CA" w14:textId="77777777" w:rsidR="00B731C3" w:rsidRPr="00B82514" w:rsidRDefault="00B731C3" w:rsidP="00A13E67">
            <w:pPr>
              <w:pStyle w:val="muudetavtekst"/>
              <w:jc w:val="left"/>
              <w:rPr>
                <w:rFonts w:asciiTheme="minorHAnsi" w:hAnsiTheme="minorHAnsi" w:cstheme="minorHAnsi"/>
              </w:rPr>
            </w:pPr>
            <w:r>
              <w:rPr>
                <w:rFonts w:asciiTheme="minorHAnsi" w:hAnsiTheme="minorHAnsi" w:cstheme="minorHAnsi"/>
              </w:rPr>
              <w:t>-</w:t>
            </w:r>
            <w:r w:rsidRPr="00B82514">
              <w:rPr>
                <w:rFonts w:asciiTheme="minorHAnsi" w:hAnsiTheme="minorHAnsi" w:cstheme="minorHAnsi"/>
              </w:rPr>
              <w:t xml:space="preserve"> võrgukao vähendamine</w:t>
            </w:r>
          </w:p>
          <w:p w14:paraId="32540529" w14:textId="77777777" w:rsidR="00B731C3" w:rsidRPr="00B82514" w:rsidRDefault="00B731C3" w:rsidP="00A13E67">
            <w:pPr>
              <w:pStyle w:val="muudetavtekst"/>
              <w:jc w:val="left"/>
              <w:rPr>
                <w:rFonts w:asciiTheme="minorHAnsi" w:hAnsiTheme="minorHAnsi" w:cstheme="minorHAnsi"/>
              </w:rPr>
            </w:pPr>
            <w:r>
              <w:rPr>
                <w:rFonts w:asciiTheme="minorHAnsi" w:hAnsiTheme="minorHAnsi" w:cstheme="minorHAnsi"/>
              </w:rPr>
              <w:t>-</w:t>
            </w:r>
            <w:r w:rsidRPr="00B82514">
              <w:rPr>
                <w:rFonts w:asciiTheme="minorHAnsi" w:hAnsiTheme="minorHAnsi" w:cstheme="minorHAnsi"/>
              </w:rPr>
              <w:t xml:space="preserve"> arukad veevõrgud ja surve reguleerimise süsteemid</w:t>
            </w:r>
          </w:p>
          <w:p w14:paraId="5C56BF53" w14:textId="77777777" w:rsidR="00B731C3" w:rsidRPr="00763CC8" w:rsidRDefault="00B731C3" w:rsidP="00A13E67">
            <w:pPr>
              <w:pStyle w:val="muudetavtekst"/>
              <w:jc w:val="left"/>
              <w:rPr>
                <w:rFonts w:asciiTheme="minorHAnsi" w:hAnsiTheme="minorHAnsi" w:cstheme="minorHAnsi"/>
              </w:rPr>
            </w:pPr>
            <w:r>
              <w:rPr>
                <w:rFonts w:asciiTheme="minorHAnsi" w:hAnsiTheme="minorHAnsi" w:cstheme="minorHAnsi"/>
              </w:rPr>
              <w:t>-</w:t>
            </w:r>
            <w:r w:rsidRPr="00B82514">
              <w:rPr>
                <w:rFonts w:asciiTheme="minorHAnsi" w:hAnsiTheme="minorHAnsi" w:cstheme="minorHAnsi"/>
              </w:rPr>
              <w:t xml:space="preserve"> vihma- ja hallvee kasutamine hoonetes</w:t>
            </w:r>
          </w:p>
        </w:tc>
      </w:tr>
      <w:tr w:rsidR="00B731C3" w14:paraId="64CD73EF" w14:textId="77777777" w:rsidTr="00A13E67">
        <w:tc>
          <w:tcPr>
            <w:tcW w:w="1643" w:type="dxa"/>
          </w:tcPr>
          <w:p w14:paraId="4062DD6E" w14:textId="77777777" w:rsidR="00B731C3" w:rsidRPr="00B0665B" w:rsidRDefault="00B731C3" w:rsidP="00A13E67">
            <w:pPr>
              <w:pStyle w:val="muudetavtekst"/>
              <w:rPr>
                <w:rFonts w:asciiTheme="minorHAnsi" w:hAnsiTheme="minorHAnsi" w:cstheme="minorHAnsi"/>
              </w:rPr>
            </w:pPr>
            <w:r w:rsidRPr="00B82514">
              <w:rPr>
                <w:rFonts w:asciiTheme="minorHAnsi" w:hAnsiTheme="minorHAnsi" w:cstheme="minorHAnsi"/>
              </w:rPr>
              <w:lastRenderedPageBreak/>
              <w:t>IKT</w:t>
            </w:r>
          </w:p>
        </w:tc>
        <w:tc>
          <w:tcPr>
            <w:tcW w:w="4110" w:type="dxa"/>
          </w:tcPr>
          <w:p w14:paraId="2BD58DDE" w14:textId="77777777" w:rsidR="00B731C3" w:rsidRPr="00CC5772" w:rsidRDefault="00B731C3" w:rsidP="00A13E67">
            <w:pPr>
              <w:pStyle w:val="muudetavtekst"/>
              <w:jc w:val="left"/>
              <w:rPr>
                <w:rFonts w:asciiTheme="minorHAnsi" w:hAnsiTheme="minorHAnsi" w:cstheme="minorHAnsi"/>
              </w:rPr>
            </w:pPr>
            <w:r>
              <w:rPr>
                <w:rFonts w:asciiTheme="minorHAnsi" w:hAnsiTheme="minorHAnsi" w:cstheme="minorHAnsi"/>
              </w:rPr>
              <w:t xml:space="preserve">- </w:t>
            </w:r>
            <w:r w:rsidRPr="00CC5772">
              <w:rPr>
                <w:rFonts w:asciiTheme="minorHAnsi" w:hAnsiTheme="minorHAnsi" w:cstheme="minorHAnsi"/>
              </w:rPr>
              <w:t>andmekeskused (nt energiakasutus andmetöötluseks, jahutamiseks)</w:t>
            </w:r>
          </w:p>
          <w:p w14:paraId="3AB04D5F" w14:textId="77777777" w:rsidR="00B731C3" w:rsidRPr="00791AB1" w:rsidRDefault="00B731C3" w:rsidP="00A13E67">
            <w:pPr>
              <w:pStyle w:val="muudetavtekst"/>
              <w:jc w:val="left"/>
              <w:rPr>
                <w:rFonts w:asciiTheme="minorHAnsi" w:hAnsiTheme="minorHAnsi" w:cstheme="minorHAnsi"/>
              </w:rPr>
            </w:pPr>
            <w:r>
              <w:rPr>
                <w:rFonts w:asciiTheme="minorHAnsi" w:hAnsiTheme="minorHAnsi" w:cstheme="minorHAnsi"/>
              </w:rPr>
              <w:t xml:space="preserve">- </w:t>
            </w:r>
            <w:r w:rsidRPr="00CC5772">
              <w:rPr>
                <w:rFonts w:asciiTheme="minorHAnsi" w:hAnsiTheme="minorHAnsi" w:cstheme="minorHAnsi"/>
              </w:rPr>
              <w:t>sidetaristu (nt lairibavõrgud, mobiilsidesüsteemid)</w:t>
            </w:r>
          </w:p>
        </w:tc>
        <w:tc>
          <w:tcPr>
            <w:tcW w:w="3309" w:type="dxa"/>
          </w:tcPr>
          <w:p w14:paraId="1895198B" w14:textId="77777777" w:rsidR="00B731C3" w:rsidRPr="00ED1248" w:rsidRDefault="00B731C3" w:rsidP="00A13E67">
            <w:pPr>
              <w:pStyle w:val="muudetavtekst"/>
              <w:jc w:val="left"/>
              <w:rPr>
                <w:rFonts w:asciiTheme="minorHAnsi" w:hAnsiTheme="minorHAnsi" w:cstheme="minorHAnsi"/>
              </w:rPr>
            </w:pPr>
            <w:r>
              <w:rPr>
                <w:rFonts w:asciiTheme="minorHAnsi" w:hAnsiTheme="minorHAnsi" w:cstheme="minorHAnsi"/>
              </w:rPr>
              <w:t>- e</w:t>
            </w:r>
            <w:r w:rsidRPr="00ED1248">
              <w:rPr>
                <w:rFonts w:asciiTheme="minorHAnsi" w:hAnsiTheme="minorHAnsi" w:cstheme="minorHAnsi"/>
              </w:rPr>
              <w:t>nergiatõhusa</w:t>
            </w:r>
            <w:r>
              <w:rPr>
                <w:rFonts w:asciiTheme="minorHAnsi" w:hAnsiTheme="minorHAnsi" w:cstheme="minorHAnsi"/>
              </w:rPr>
              <w:t xml:space="preserve"> </w:t>
            </w:r>
            <w:r w:rsidRPr="00ED1248">
              <w:rPr>
                <w:rFonts w:asciiTheme="minorHAnsi" w:hAnsiTheme="minorHAnsi" w:cstheme="minorHAnsi"/>
              </w:rPr>
              <w:t>andmekeskuse</w:t>
            </w:r>
            <w:r>
              <w:rPr>
                <w:rFonts w:asciiTheme="minorHAnsi" w:hAnsiTheme="minorHAnsi" w:cstheme="minorHAnsi"/>
              </w:rPr>
              <w:t xml:space="preserve"> </w:t>
            </w:r>
            <w:r w:rsidRPr="00ED1248">
              <w:rPr>
                <w:rFonts w:asciiTheme="minorHAnsi" w:hAnsiTheme="minorHAnsi" w:cstheme="minorHAnsi"/>
              </w:rPr>
              <w:t>projekteerimine ja käitamine (sh heitsoojuse taaskasutus)</w:t>
            </w:r>
          </w:p>
          <w:p w14:paraId="2B01AFC8" w14:textId="77777777" w:rsidR="00B731C3" w:rsidRPr="00ED1248" w:rsidRDefault="00B731C3" w:rsidP="00A13E67">
            <w:pPr>
              <w:pStyle w:val="muudetavtekst"/>
              <w:jc w:val="left"/>
              <w:rPr>
                <w:rFonts w:asciiTheme="minorHAnsi" w:hAnsiTheme="minorHAnsi" w:cstheme="minorHAnsi"/>
              </w:rPr>
            </w:pPr>
            <w:r>
              <w:rPr>
                <w:rFonts w:asciiTheme="minorHAnsi" w:hAnsiTheme="minorHAnsi" w:cstheme="minorHAnsi"/>
              </w:rPr>
              <w:t>-</w:t>
            </w:r>
            <w:r w:rsidRPr="00ED1248">
              <w:rPr>
                <w:rFonts w:asciiTheme="minorHAnsi" w:hAnsiTheme="minorHAnsi" w:cstheme="minorHAnsi"/>
              </w:rPr>
              <w:t xml:space="preserve"> energiatõhusad võrguseadmed</w:t>
            </w:r>
          </w:p>
          <w:p w14:paraId="7AC14DAA" w14:textId="77777777" w:rsidR="00B731C3" w:rsidRPr="00B82514" w:rsidRDefault="00B731C3" w:rsidP="00A13E67">
            <w:pPr>
              <w:pStyle w:val="muudetavtekst"/>
              <w:jc w:val="left"/>
              <w:rPr>
                <w:rFonts w:asciiTheme="minorHAnsi" w:hAnsiTheme="minorHAnsi" w:cstheme="minorHAnsi"/>
              </w:rPr>
            </w:pPr>
            <w:r>
              <w:rPr>
                <w:rFonts w:asciiTheme="minorHAnsi" w:hAnsiTheme="minorHAnsi" w:cstheme="minorHAnsi"/>
              </w:rPr>
              <w:t>-</w:t>
            </w:r>
            <w:r w:rsidRPr="00ED1248">
              <w:rPr>
                <w:rFonts w:asciiTheme="minorHAnsi" w:hAnsiTheme="minorHAnsi" w:cstheme="minorHAnsi"/>
              </w:rPr>
              <w:t xml:space="preserve"> tarkvõrgu tehnoloogia lahendused ja digitaalsed energiajuhtimislahendused</w:t>
            </w:r>
          </w:p>
        </w:tc>
      </w:tr>
      <w:tr w:rsidR="00B731C3" w14:paraId="40F8E2B5" w14:textId="77777777" w:rsidTr="00A13E67">
        <w:tc>
          <w:tcPr>
            <w:tcW w:w="1643" w:type="dxa"/>
          </w:tcPr>
          <w:p w14:paraId="38E5775C" w14:textId="77777777" w:rsidR="00B731C3" w:rsidRPr="00B82514" w:rsidRDefault="00B731C3" w:rsidP="00A13E67">
            <w:pPr>
              <w:pStyle w:val="muudetavtekst"/>
              <w:jc w:val="left"/>
              <w:rPr>
                <w:rFonts w:asciiTheme="minorHAnsi" w:hAnsiTheme="minorHAnsi" w:cstheme="minorHAnsi"/>
              </w:rPr>
            </w:pPr>
            <w:r>
              <w:rPr>
                <w:rFonts w:asciiTheme="minorHAnsi" w:hAnsiTheme="minorHAnsi" w:cstheme="minorHAnsi"/>
              </w:rPr>
              <w:t>Põllumajandus</w:t>
            </w:r>
          </w:p>
        </w:tc>
        <w:tc>
          <w:tcPr>
            <w:tcW w:w="4110" w:type="dxa"/>
          </w:tcPr>
          <w:p w14:paraId="5620CE9A" w14:textId="77777777" w:rsidR="00B731C3" w:rsidRPr="00122135" w:rsidRDefault="00B731C3" w:rsidP="00A13E67">
            <w:pPr>
              <w:pStyle w:val="muudetavtekst"/>
              <w:jc w:val="left"/>
              <w:rPr>
                <w:rFonts w:asciiTheme="minorHAnsi" w:hAnsiTheme="minorHAnsi" w:cstheme="minorHAnsi"/>
              </w:rPr>
            </w:pPr>
            <w:r>
              <w:rPr>
                <w:rFonts w:asciiTheme="minorHAnsi" w:hAnsiTheme="minorHAnsi" w:cstheme="minorHAnsi"/>
              </w:rPr>
              <w:t xml:space="preserve">- </w:t>
            </w:r>
            <w:r w:rsidRPr="00122135">
              <w:rPr>
                <w:rFonts w:asciiTheme="minorHAnsi" w:hAnsiTheme="minorHAnsi" w:cstheme="minorHAnsi"/>
              </w:rPr>
              <w:t>niisutussüsteemid (nt maapealsed sprinklerid)</w:t>
            </w:r>
          </w:p>
          <w:p w14:paraId="43A2BD0A" w14:textId="77777777" w:rsidR="00B731C3" w:rsidRPr="00122135" w:rsidRDefault="00B731C3" w:rsidP="00A13E67">
            <w:pPr>
              <w:pStyle w:val="muudetavtekst"/>
              <w:jc w:val="left"/>
              <w:rPr>
                <w:rFonts w:asciiTheme="minorHAnsi" w:hAnsiTheme="minorHAnsi" w:cstheme="minorHAnsi"/>
              </w:rPr>
            </w:pPr>
            <w:r>
              <w:rPr>
                <w:rFonts w:asciiTheme="minorHAnsi" w:hAnsiTheme="minorHAnsi" w:cstheme="minorHAnsi"/>
              </w:rPr>
              <w:t xml:space="preserve">- </w:t>
            </w:r>
            <w:r w:rsidRPr="00122135">
              <w:rPr>
                <w:rFonts w:asciiTheme="minorHAnsi" w:hAnsiTheme="minorHAnsi" w:cstheme="minorHAnsi"/>
              </w:rPr>
              <w:t>põllumajandusmasinad ja -seadmed (nt kombainid, traktorid)</w:t>
            </w:r>
          </w:p>
          <w:p w14:paraId="553B1354" w14:textId="77777777" w:rsidR="00B731C3" w:rsidRPr="00CC5772" w:rsidRDefault="00B731C3" w:rsidP="00A13E67">
            <w:pPr>
              <w:pStyle w:val="muudetavtekst"/>
              <w:jc w:val="left"/>
              <w:rPr>
                <w:rFonts w:asciiTheme="minorHAnsi" w:hAnsiTheme="minorHAnsi" w:cstheme="minorHAnsi"/>
              </w:rPr>
            </w:pPr>
            <w:r>
              <w:rPr>
                <w:rFonts w:asciiTheme="minorHAnsi" w:hAnsiTheme="minorHAnsi" w:cstheme="minorHAnsi"/>
              </w:rPr>
              <w:t xml:space="preserve">- </w:t>
            </w:r>
            <w:r w:rsidRPr="00122135">
              <w:rPr>
                <w:rFonts w:asciiTheme="minorHAnsi" w:hAnsiTheme="minorHAnsi" w:cstheme="minorHAnsi"/>
              </w:rPr>
              <w:t>kasvuhooned, vertikaalne taimekasvatus</w:t>
            </w:r>
          </w:p>
        </w:tc>
        <w:tc>
          <w:tcPr>
            <w:tcW w:w="3309" w:type="dxa"/>
          </w:tcPr>
          <w:p w14:paraId="56617088" w14:textId="77777777" w:rsidR="00B731C3" w:rsidRPr="00165684" w:rsidRDefault="00B731C3" w:rsidP="00A13E67">
            <w:pPr>
              <w:pStyle w:val="muudetavtekst"/>
              <w:jc w:val="left"/>
              <w:rPr>
                <w:rFonts w:asciiTheme="minorHAnsi" w:hAnsiTheme="minorHAnsi" w:cstheme="minorHAnsi"/>
              </w:rPr>
            </w:pPr>
            <w:r>
              <w:rPr>
                <w:rFonts w:asciiTheme="minorHAnsi" w:hAnsiTheme="minorHAnsi" w:cstheme="minorHAnsi"/>
              </w:rPr>
              <w:t xml:space="preserve">- </w:t>
            </w:r>
            <w:r w:rsidRPr="00165684">
              <w:rPr>
                <w:rFonts w:asciiTheme="minorHAnsi" w:hAnsiTheme="minorHAnsi" w:cstheme="minorHAnsi"/>
              </w:rPr>
              <w:t>põllukultuuride valiku kohandamine kohaliku kliimaga, võttes arvesse kliimamuutusi</w:t>
            </w:r>
          </w:p>
          <w:p w14:paraId="7326E446" w14:textId="77777777" w:rsidR="00B731C3" w:rsidRPr="00165684" w:rsidRDefault="00B731C3" w:rsidP="00A13E67">
            <w:pPr>
              <w:pStyle w:val="muudetavtekst"/>
              <w:jc w:val="left"/>
              <w:rPr>
                <w:rFonts w:asciiTheme="minorHAnsi" w:hAnsiTheme="minorHAnsi" w:cstheme="minorHAnsi"/>
              </w:rPr>
            </w:pPr>
            <w:r w:rsidRPr="00165684">
              <w:rPr>
                <w:rFonts w:asciiTheme="minorHAnsi" w:hAnsiTheme="minorHAnsi" w:cstheme="minorHAnsi"/>
              </w:rPr>
              <w:t>põllumajandustavad,</w:t>
            </w:r>
            <w:r>
              <w:rPr>
                <w:rFonts w:asciiTheme="minorHAnsi" w:hAnsiTheme="minorHAnsi" w:cstheme="minorHAnsi"/>
              </w:rPr>
              <w:t xml:space="preserve"> </w:t>
            </w:r>
            <w:r w:rsidRPr="00165684">
              <w:rPr>
                <w:rFonts w:asciiTheme="minorHAnsi" w:hAnsiTheme="minorHAnsi" w:cstheme="minorHAnsi"/>
              </w:rPr>
              <w:t>mis vähendavad vajadust masinate ja seadmete järele (nt permakultuur)</w:t>
            </w:r>
          </w:p>
          <w:p w14:paraId="36104D96" w14:textId="77777777" w:rsidR="00B731C3" w:rsidRPr="00165684" w:rsidRDefault="00B731C3" w:rsidP="00A13E67">
            <w:pPr>
              <w:pStyle w:val="muudetavtekst"/>
              <w:jc w:val="left"/>
              <w:rPr>
                <w:rFonts w:asciiTheme="minorHAnsi" w:hAnsiTheme="minorHAnsi" w:cstheme="minorHAnsi"/>
              </w:rPr>
            </w:pPr>
            <w:r>
              <w:rPr>
                <w:rFonts w:asciiTheme="minorHAnsi" w:hAnsiTheme="minorHAnsi" w:cstheme="minorHAnsi"/>
              </w:rPr>
              <w:t xml:space="preserve">- </w:t>
            </w:r>
            <w:r w:rsidRPr="00165684">
              <w:rPr>
                <w:rFonts w:asciiTheme="minorHAnsi" w:hAnsiTheme="minorHAnsi" w:cstheme="minorHAnsi"/>
              </w:rPr>
              <w:t>energiatõhus niisutus (nt päikeseenergial töötavad pumbad)</w:t>
            </w:r>
          </w:p>
          <w:p w14:paraId="2A7D4C95" w14:textId="77777777" w:rsidR="00B731C3" w:rsidRPr="00165684" w:rsidRDefault="00B731C3" w:rsidP="00A13E67">
            <w:pPr>
              <w:pStyle w:val="muudetavtekst"/>
              <w:jc w:val="left"/>
              <w:rPr>
                <w:rFonts w:asciiTheme="minorHAnsi" w:hAnsiTheme="minorHAnsi" w:cstheme="minorHAnsi"/>
              </w:rPr>
            </w:pPr>
            <w:r>
              <w:rPr>
                <w:rFonts w:asciiTheme="minorHAnsi" w:hAnsiTheme="minorHAnsi" w:cstheme="minorHAnsi"/>
              </w:rPr>
              <w:t xml:space="preserve">- </w:t>
            </w:r>
            <w:r w:rsidRPr="00165684">
              <w:rPr>
                <w:rFonts w:asciiTheme="minorHAnsi" w:hAnsiTheme="minorHAnsi" w:cstheme="minorHAnsi"/>
              </w:rPr>
              <w:t>täppispõllumajandus (nt GPSiga juhitavad masinad)</w:t>
            </w:r>
          </w:p>
          <w:p w14:paraId="23EFC8D9" w14:textId="77777777" w:rsidR="00B731C3" w:rsidRPr="00ED1248" w:rsidRDefault="00B731C3" w:rsidP="00A13E67">
            <w:pPr>
              <w:pStyle w:val="muudetavtekst"/>
              <w:jc w:val="left"/>
              <w:rPr>
                <w:rFonts w:asciiTheme="minorHAnsi" w:hAnsiTheme="minorHAnsi" w:cstheme="minorHAnsi"/>
              </w:rPr>
            </w:pPr>
            <w:r>
              <w:rPr>
                <w:rFonts w:asciiTheme="minorHAnsi" w:hAnsiTheme="minorHAnsi" w:cstheme="minorHAnsi"/>
              </w:rPr>
              <w:t xml:space="preserve">- </w:t>
            </w:r>
            <w:r w:rsidRPr="00165684">
              <w:rPr>
                <w:rFonts w:asciiTheme="minorHAnsi" w:hAnsiTheme="minorHAnsi" w:cstheme="minorHAnsi"/>
              </w:rPr>
              <w:t xml:space="preserve">taastuvenergia </w:t>
            </w:r>
            <w:r>
              <w:rPr>
                <w:rFonts w:asciiTheme="minorHAnsi" w:hAnsiTheme="minorHAnsi" w:cstheme="minorHAnsi"/>
              </w:rPr>
              <w:t>k</w:t>
            </w:r>
            <w:r w:rsidRPr="00165684">
              <w:rPr>
                <w:rFonts w:asciiTheme="minorHAnsi" w:hAnsiTheme="minorHAnsi" w:cstheme="minorHAnsi"/>
              </w:rPr>
              <w:t>asutamine (nt päikesekuivatus, päikesepaneelid)</w:t>
            </w:r>
          </w:p>
        </w:tc>
      </w:tr>
    </w:tbl>
    <w:p w14:paraId="271E043C" w14:textId="77777777" w:rsidR="00B731C3" w:rsidRDefault="00B731C3" w:rsidP="00B731C3">
      <w:pPr>
        <w:pStyle w:val="muudetavtekst"/>
        <w:rPr>
          <w:rFonts w:asciiTheme="minorHAnsi" w:hAnsiTheme="minorHAnsi" w:cstheme="minorHAnsi"/>
        </w:rPr>
      </w:pPr>
      <w:r>
        <w:rPr>
          <w:rFonts w:asciiTheme="minorHAnsi" w:hAnsiTheme="minorHAnsi" w:cstheme="minorHAnsi"/>
        </w:rPr>
        <w:t xml:space="preserve">Tabel 6. </w:t>
      </w:r>
      <w:r w:rsidRPr="005D6ACD">
        <w:rPr>
          <w:rFonts w:asciiTheme="minorHAnsi" w:hAnsiTheme="minorHAnsi" w:cstheme="minorHAnsi"/>
        </w:rPr>
        <w:t>Näited alternatiividest, mida võib kasutada energiaga mitteseotud sektorites energiatõhususe esikohale seadmise põhimõtte kohaldamisel</w:t>
      </w:r>
    </w:p>
    <w:p w14:paraId="45953A67" w14:textId="77777777" w:rsidR="00B731C3" w:rsidRDefault="00B731C3" w:rsidP="00B731C3">
      <w:pPr>
        <w:pStyle w:val="muudetavtekst"/>
        <w:rPr>
          <w:rFonts w:asciiTheme="minorHAnsi" w:hAnsiTheme="minorHAnsi" w:cstheme="minorHAnsi"/>
        </w:rPr>
      </w:pPr>
    </w:p>
    <w:p w14:paraId="08EE5BA3" w14:textId="77777777" w:rsidR="00B731C3" w:rsidRPr="00F37B50" w:rsidRDefault="00B731C3" w:rsidP="00B731C3">
      <w:pPr>
        <w:pStyle w:val="muudetavtekst"/>
        <w:rPr>
          <w:rFonts w:asciiTheme="minorHAnsi" w:hAnsiTheme="minorHAnsi" w:cstheme="minorHAnsi"/>
        </w:rPr>
      </w:pPr>
      <w:r w:rsidRPr="00F37B50">
        <w:rPr>
          <w:rFonts w:asciiTheme="minorHAnsi" w:hAnsiTheme="minorHAnsi" w:cstheme="minorHAnsi"/>
        </w:rPr>
        <w:t>Energiatõhususe esikohale seadmise põhimõtte rakendamine.</w:t>
      </w:r>
    </w:p>
    <w:p w14:paraId="3B3E2401" w14:textId="77777777" w:rsidR="00B731C3" w:rsidRDefault="00B731C3" w:rsidP="00B731C3">
      <w:pPr>
        <w:pStyle w:val="muudetavtekst"/>
        <w:rPr>
          <w:rFonts w:asciiTheme="minorHAnsi" w:hAnsiTheme="minorHAnsi" w:cstheme="minorBidi"/>
        </w:rPr>
      </w:pPr>
      <w:r w:rsidRPr="57490200">
        <w:rPr>
          <w:rFonts w:asciiTheme="minorHAnsi" w:hAnsiTheme="minorHAnsi" w:cstheme="minorBidi"/>
        </w:rPr>
        <w:t>Eelnõu</w:t>
      </w:r>
      <w:r>
        <w:rPr>
          <w:rFonts w:asciiTheme="minorHAnsi" w:hAnsiTheme="minorHAnsi" w:cstheme="minorBidi"/>
        </w:rPr>
        <w:t>s</w:t>
      </w:r>
      <w:r w:rsidRPr="57490200">
        <w:rPr>
          <w:rFonts w:asciiTheme="minorHAnsi" w:hAnsiTheme="minorHAnsi" w:cstheme="minorBidi"/>
        </w:rPr>
        <w:t xml:space="preserve"> sätesta</w:t>
      </w:r>
      <w:r>
        <w:rPr>
          <w:rFonts w:asciiTheme="minorHAnsi" w:hAnsiTheme="minorHAnsi" w:cstheme="minorBidi"/>
        </w:rPr>
        <w:t>takse</w:t>
      </w:r>
      <w:r w:rsidRPr="57490200">
        <w:rPr>
          <w:rFonts w:asciiTheme="minorHAnsi" w:hAnsiTheme="minorHAnsi" w:cstheme="minorBidi"/>
        </w:rPr>
        <w:t>, et energiatõhususe esikohale seadmise põhimõtete jä</w:t>
      </w:r>
      <w:r>
        <w:rPr>
          <w:rFonts w:asciiTheme="minorHAnsi" w:hAnsiTheme="minorHAnsi" w:cstheme="minorBidi"/>
        </w:rPr>
        <w:t>r</w:t>
      </w:r>
      <w:r w:rsidRPr="57490200">
        <w:rPr>
          <w:rFonts w:asciiTheme="minorHAnsi" w:hAnsiTheme="minorHAnsi" w:cstheme="minorBidi"/>
        </w:rPr>
        <w:t xml:space="preserve">gimise eest </w:t>
      </w:r>
      <w:r>
        <w:rPr>
          <w:rFonts w:asciiTheme="minorHAnsi" w:hAnsiTheme="minorHAnsi" w:cstheme="minorBidi"/>
        </w:rPr>
        <w:t xml:space="preserve">vastutavad kõik avaliku sektori asutused ning nende abistamiseks töötab </w:t>
      </w:r>
      <w:r w:rsidRPr="57490200">
        <w:rPr>
          <w:rFonts w:asciiTheme="minorHAnsi" w:hAnsiTheme="minorHAnsi" w:cstheme="minorBidi"/>
        </w:rPr>
        <w:t>energiatõhususe koordinaator (Kliimaministeerium) välja kulude ja tulude analüüsi metoodikaid, mis võimaldavad hinnata energiatõhususe lahendusi erinevates otsusprotsessides, võttes arvesse nende otsuste mõju</w:t>
      </w:r>
      <w:r>
        <w:rPr>
          <w:rFonts w:asciiTheme="minorHAnsi" w:hAnsiTheme="minorHAnsi" w:cstheme="minorBidi"/>
        </w:rPr>
        <w:t xml:space="preserve"> ka </w:t>
      </w:r>
      <w:r w:rsidRPr="57490200">
        <w:rPr>
          <w:rFonts w:asciiTheme="minorHAnsi" w:hAnsiTheme="minorHAnsi" w:cstheme="minorBidi"/>
        </w:rPr>
        <w:t>energiaostuvõimetutele isikutele ja riski</w:t>
      </w:r>
      <w:r>
        <w:rPr>
          <w:rFonts w:asciiTheme="minorHAnsi" w:hAnsiTheme="minorHAnsi" w:cstheme="minorBidi"/>
        </w:rPr>
        <w:t>rühmale</w:t>
      </w:r>
      <w:r w:rsidRPr="57490200">
        <w:rPr>
          <w:rFonts w:asciiTheme="minorHAnsi" w:hAnsiTheme="minorHAnsi" w:cstheme="minorBidi"/>
        </w:rPr>
        <w:t>.</w:t>
      </w:r>
      <w:r>
        <w:rPr>
          <w:rFonts w:asciiTheme="minorHAnsi" w:hAnsiTheme="minorHAnsi" w:cstheme="minorBidi"/>
        </w:rPr>
        <w:t xml:space="preserve"> Metoodikad hakkavad põhinema Euroopa Komisjoni poolt koostatud juhenditel, mida on lubatud avalikustada sügis 2025. </w:t>
      </w:r>
    </w:p>
    <w:p w14:paraId="59F7FF25" w14:textId="77777777" w:rsidR="00B731C3" w:rsidRDefault="00B731C3" w:rsidP="00B731C3">
      <w:pPr>
        <w:pStyle w:val="muudetavtekst"/>
        <w:rPr>
          <w:rFonts w:asciiTheme="minorHAnsi" w:hAnsiTheme="minorHAnsi" w:cstheme="minorHAnsi"/>
        </w:rPr>
      </w:pPr>
    </w:p>
    <w:p w14:paraId="1A0424E8" w14:textId="77777777" w:rsidR="00B731C3" w:rsidRPr="0012179C" w:rsidRDefault="00B731C3" w:rsidP="00B731C3">
      <w:pPr>
        <w:pStyle w:val="muudetavtekst"/>
        <w:rPr>
          <w:rFonts w:asciiTheme="minorHAnsi" w:hAnsiTheme="minorHAnsi" w:cstheme="minorHAnsi"/>
          <w:u w:val="single"/>
        </w:rPr>
      </w:pPr>
      <w:r w:rsidRPr="0012179C">
        <w:rPr>
          <w:rFonts w:asciiTheme="minorHAnsi" w:hAnsiTheme="minorHAnsi" w:cstheme="minorHAnsi"/>
          <w:u w:val="single"/>
        </w:rPr>
        <w:t>Investeerimisotsused</w:t>
      </w:r>
    </w:p>
    <w:p w14:paraId="2C08926D" w14:textId="77777777" w:rsidR="00B731C3" w:rsidRDefault="00B731C3" w:rsidP="00B731C3">
      <w:pPr>
        <w:pStyle w:val="muudetavtekst"/>
        <w:rPr>
          <w:rFonts w:asciiTheme="minorHAnsi" w:hAnsiTheme="minorHAnsi" w:cstheme="minorBidi"/>
        </w:rPr>
      </w:pPr>
      <w:r w:rsidRPr="57490200">
        <w:rPr>
          <w:rFonts w:asciiTheme="minorHAnsi" w:hAnsiTheme="minorHAnsi" w:cstheme="minorBidi"/>
        </w:rPr>
        <w:t>Eestis on 100 miljoni</w:t>
      </w:r>
      <w:r>
        <w:rPr>
          <w:rFonts w:asciiTheme="minorHAnsi" w:hAnsiTheme="minorHAnsi" w:cstheme="minorBidi"/>
        </w:rPr>
        <w:t>st</w:t>
      </w:r>
      <w:r w:rsidRPr="57490200">
        <w:rPr>
          <w:rFonts w:asciiTheme="minorHAnsi" w:hAnsiTheme="minorHAnsi" w:cstheme="minorBidi"/>
        </w:rPr>
        <w:t xml:space="preserve"> </w:t>
      </w:r>
      <w:r>
        <w:rPr>
          <w:rFonts w:asciiTheme="minorHAnsi" w:hAnsiTheme="minorHAnsi" w:cstheme="minorBidi"/>
        </w:rPr>
        <w:t xml:space="preserve">suuremad </w:t>
      </w:r>
      <w:r w:rsidRPr="57490200">
        <w:rPr>
          <w:rFonts w:asciiTheme="minorHAnsi" w:hAnsiTheme="minorHAnsi" w:cstheme="minorBidi"/>
        </w:rPr>
        <w:t>inve</w:t>
      </w:r>
      <w:r>
        <w:rPr>
          <w:rFonts w:asciiTheme="minorHAnsi" w:hAnsiTheme="minorHAnsi" w:cstheme="minorBidi"/>
        </w:rPr>
        <w:t>s</w:t>
      </w:r>
      <w:r w:rsidRPr="57490200">
        <w:rPr>
          <w:rFonts w:asciiTheme="minorHAnsi" w:hAnsiTheme="minorHAnsi" w:cstheme="minorBidi"/>
        </w:rPr>
        <w:t>teerimisot</w:t>
      </w:r>
      <w:r>
        <w:rPr>
          <w:rFonts w:asciiTheme="minorHAnsi" w:hAnsiTheme="minorHAnsi" w:cstheme="minorBidi"/>
        </w:rPr>
        <w:t>s</w:t>
      </w:r>
      <w:r w:rsidRPr="57490200">
        <w:rPr>
          <w:rFonts w:asciiTheme="minorHAnsi" w:hAnsiTheme="minorHAnsi" w:cstheme="minorBidi"/>
        </w:rPr>
        <w:t xml:space="preserve">used </w:t>
      </w:r>
      <w:r>
        <w:rPr>
          <w:rFonts w:asciiTheme="minorHAnsi" w:hAnsiTheme="minorHAnsi" w:cstheme="minorBidi"/>
        </w:rPr>
        <w:t>olnud näiteks</w:t>
      </w:r>
      <w:r>
        <w:rPr>
          <w:rStyle w:val="Allmrkuseviide"/>
          <w:rFonts w:asciiTheme="minorHAnsi" w:hAnsiTheme="minorHAnsi" w:cstheme="minorBidi"/>
        </w:rPr>
        <w:footnoteReference w:id="21"/>
      </w:r>
      <w:r>
        <w:rPr>
          <w:rFonts w:asciiTheme="minorHAnsi" w:hAnsiTheme="minorHAnsi" w:cstheme="minorBidi"/>
        </w:rPr>
        <w:t xml:space="preserve"> </w:t>
      </w:r>
      <w:r w:rsidRPr="00256088">
        <w:rPr>
          <w:rFonts w:asciiTheme="minorHAnsi" w:hAnsiTheme="minorHAnsi" w:cstheme="minorBidi"/>
        </w:rPr>
        <w:t>Eesti Energia Auvere elektrijaam maksumusega 609 miljonit</w:t>
      </w:r>
      <w:r>
        <w:rPr>
          <w:rFonts w:asciiTheme="minorHAnsi" w:hAnsiTheme="minorHAnsi" w:cstheme="minorBidi"/>
        </w:rPr>
        <w:t xml:space="preserve"> </w:t>
      </w:r>
      <w:r w:rsidRPr="00256088">
        <w:rPr>
          <w:rFonts w:asciiTheme="minorHAnsi" w:hAnsiTheme="minorHAnsi" w:cstheme="minorBidi"/>
        </w:rPr>
        <w:t>eurot, sellele järgnes Eleringi EstLink 2 projekt 163,8 miljoni</w:t>
      </w:r>
      <w:r>
        <w:rPr>
          <w:rFonts w:asciiTheme="minorHAnsi" w:hAnsiTheme="minorHAnsi" w:cstheme="minorBidi"/>
        </w:rPr>
        <w:t>,</w:t>
      </w:r>
      <w:r w:rsidRPr="00256088">
        <w:rPr>
          <w:rFonts w:asciiTheme="minorHAnsi" w:hAnsiTheme="minorHAnsi" w:cstheme="minorBidi"/>
        </w:rPr>
        <w:t xml:space="preserve"> Põhja-Eesti Regionaalhaigla juurde- ja ümberehitus 144,2</w:t>
      </w:r>
      <w:r>
        <w:rPr>
          <w:rFonts w:asciiTheme="minorHAnsi" w:hAnsiTheme="minorHAnsi" w:cstheme="minorBidi"/>
        </w:rPr>
        <w:t xml:space="preserve"> </w:t>
      </w:r>
      <w:r w:rsidRPr="00256088">
        <w:rPr>
          <w:rFonts w:asciiTheme="minorHAnsi" w:hAnsiTheme="minorHAnsi" w:cstheme="minorBidi"/>
        </w:rPr>
        <w:t>miljoni euroga</w:t>
      </w:r>
      <w:r>
        <w:rPr>
          <w:rFonts w:asciiTheme="minorHAnsi" w:hAnsiTheme="minorHAnsi" w:cstheme="minorBidi"/>
        </w:rPr>
        <w:t xml:space="preserve"> ning</w:t>
      </w:r>
      <w:r w:rsidRPr="006D6229">
        <w:rPr>
          <w:rFonts w:asciiTheme="minorHAnsi" w:hAnsiTheme="minorHAnsi" w:cstheme="minorBidi"/>
        </w:rPr>
        <w:t xml:space="preserve"> </w:t>
      </w:r>
      <w:r>
        <w:rPr>
          <w:rFonts w:asciiTheme="minorHAnsi" w:hAnsiTheme="minorHAnsi" w:cstheme="minorBidi"/>
        </w:rPr>
        <w:t>Tartu Ülikooli Kliinikumi Maarjamõisa meditsiinilinnak 217 miljoni euroga.</w:t>
      </w:r>
    </w:p>
    <w:p w14:paraId="5FE637A3" w14:textId="77777777" w:rsidR="00B731C3" w:rsidRDefault="00B731C3" w:rsidP="00B731C3">
      <w:pPr>
        <w:pStyle w:val="muudetavtekst"/>
        <w:rPr>
          <w:rFonts w:asciiTheme="minorHAnsi" w:hAnsiTheme="minorHAnsi" w:cstheme="minorBidi"/>
        </w:rPr>
      </w:pPr>
      <w:r w:rsidRPr="57490200">
        <w:rPr>
          <w:rFonts w:asciiTheme="minorHAnsi" w:hAnsiTheme="minorHAnsi" w:cstheme="minorBidi"/>
        </w:rPr>
        <w:lastRenderedPageBreak/>
        <w:t>Taristuobjektide investeeringuid üle 175 miljoni euro on</w:t>
      </w:r>
      <w:r>
        <w:rPr>
          <w:rFonts w:asciiTheme="minorHAnsi" w:hAnsiTheme="minorHAnsi" w:cstheme="minorBidi"/>
        </w:rPr>
        <w:t xml:space="preserve"> Rail Baltica ehitus, aga ka 2+2 maanteede ehitus, kui vaadata neid ühe investeeringuna.</w:t>
      </w:r>
    </w:p>
    <w:p w14:paraId="1DF15277" w14:textId="77777777" w:rsidR="00B731C3" w:rsidRDefault="00B731C3" w:rsidP="00B731C3">
      <w:pPr>
        <w:pStyle w:val="muudetavtekst"/>
        <w:rPr>
          <w:rFonts w:asciiTheme="minorHAnsi" w:hAnsiTheme="minorHAnsi" w:cstheme="minorHAnsi"/>
          <w:b/>
          <w:bCs/>
        </w:rPr>
      </w:pPr>
    </w:p>
    <w:p w14:paraId="4DF5686F" w14:textId="77777777" w:rsidR="00B731C3" w:rsidRDefault="00B731C3" w:rsidP="00B731C3">
      <w:pPr>
        <w:pStyle w:val="muudetavtekst"/>
        <w:rPr>
          <w:rFonts w:asciiTheme="minorHAnsi" w:hAnsiTheme="minorHAnsi" w:cstheme="minorHAnsi"/>
        </w:rPr>
      </w:pPr>
      <w:r w:rsidRPr="00BD5F4F">
        <w:rPr>
          <w:rFonts w:asciiTheme="minorHAnsi" w:hAnsiTheme="minorHAnsi" w:cstheme="minorHAnsi"/>
          <w:b/>
          <w:bCs/>
        </w:rPr>
        <w:t xml:space="preserve">Punktiga </w:t>
      </w:r>
      <w:r>
        <w:rPr>
          <w:rFonts w:asciiTheme="minorHAnsi" w:hAnsiTheme="minorHAnsi" w:cstheme="minorHAnsi"/>
          <w:b/>
          <w:bCs/>
        </w:rPr>
        <w:t>13</w:t>
      </w:r>
      <w:r w:rsidRPr="00BD5F4F">
        <w:rPr>
          <w:rFonts w:asciiTheme="minorHAnsi" w:hAnsiTheme="minorHAnsi" w:cstheme="minorHAnsi"/>
        </w:rPr>
        <w:t xml:space="preserve"> </w:t>
      </w:r>
      <w:r>
        <w:rPr>
          <w:rFonts w:asciiTheme="minorHAnsi" w:hAnsiTheme="minorHAnsi" w:cstheme="minorHAnsi"/>
        </w:rPr>
        <w:t>on normitehniline muudatus koondades paragrahvidest 3-4</w:t>
      </w:r>
      <w:r>
        <w:rPr>
          <w:rFonts w:asciiTheme="minorHAnsi" w:hAnsiTheme="minorHAnsi" w:cstheme="minorHAnsi"/>
          <w:vertAlign w:val="superscript"/>
        </w:rPr>
        <w:t>1</w:t>
      </w:r>
      <w:r>
        <w:rPr>
          <w:rFonts w:asciiTheme="minorHAnsi" w:hAnsiTheme="minorHAnsi" w:cstheme="minorHAnsi"/>
        </w:rPr>
        <w:t xml:space="preserve"> peatüki 2 jagu pealkirjaga „2 jagu Riiklik energiatõhususe eesmärk ja valdkonna strateegiad“. </w:t>
      </w:r>
    </w:p>
    <w:p w14:paraId="5AB455EC" w14:textId="77777777" w:rsidR="00B731C3" w:rsidRDefault="00B731C3" w:rsidP="00B731C3">
      <w:pPr>
        <w:pStyle w:val="muudetavtekst"/>
        <w:rPr>
          <w:rFonts w:asciiTheme="minorHAnsi" w:hAnsiTheme="minorHAnsi" w:cstheme="minorHAnsi"/>
        </w:rPr>
      </w:pPr>
    </w:p>
    <w:p w14:paraId="53511247" w14:textId="77777777" w:rsidR="00B731C3" w:rsidRPr="00326F49" w:rsidRDefault="00B731C3" w:rsidP="00B731C3">
      <w:pPr>
        <w:pStyle w:val="muudetavtekst"/>
        <w:rPr>
          <w:rFonts w:asciiTheme="minorHAnsi" w:hAnsiTheme="minorHAnsi" w:cstheme="minorHAnsi"/>
        </w:rPr>
      </w:pPr>
      <w:r w:rsidRPr="00437D1B">
        <w:rPr>
          <w:rFonts w:asciiTheme="minorHAnsi" w:hAnsiTheme="minorHAnsi" w:cstheme="minorHAnsi"/>
          <w:b/>
          <w:bCs/>
        </w:rPr>
        <w:t xml:space="preserve">Punktiga </w:t>
      </w:r>
      <w:r>
        <w:rPr>
          <w:rFonts w:asciiTheme="minorHAnsi" w:hAnsiTheme="minorHAnsi" w:cstheme="minorHAnsi"/>
          <w:b/>
          <w:bCs/>
        </w:rPr>
        <w:t>14</w:t>
      </w:r>
      <w:r>
        <w:rPr>
          <w:rFonts w:asciiTheme="minorHAnsi" w:hAnsiTheme="minorHAnsi" w:cstheme="minorHAnsi"/>
        </w:rPr>
        <w:t xml:space="preserve"> asendatakse paragrahvi 3 lõikes 1 asendatakse tekstiosa „</w:t>
      </w:r>
      <w:r w:rsidRPr="00105719">
        <w:rPr>
          <w:rFonts w:asciiTheme="minorHAnsi" w:hAnsiTheme="minorHAnsi" w:cstheme="minorHAnsi"/>
        </w:rPr>
        <w:t>“Kliimaministeerium (edaspidi energiasäästu koordinaator)” tekstiosaga “Energiasäästu koordinaator”</w:t>
      </w:r>
      <w:r>
        <w:rPr>
          <w:rFonts w:asciiTheme="minorHAnsi" w:hAnsiTheme="minorHAnsi" w:cstheme="minorHAnsi"/>
        </w:rPr>
        <w:t>. Tegemist on normitehnilise muudatusega, sest energiasäästu koordinaatori mõiste tuuakse sisse varasemalt, uues § 2</w:t>
      </w:r>
      <w:r>
        <w:rPr>
          <w:rFonts w:asciiTheme="minorHAnsi" w:hAnsiTheme="minorHAnsi" w:cstheme="minorHAnsi"/>
          <w:vertAlign w:val="superscript"/>
        </w:rPr>
        <w:t>1</w:t>
      </w:r>
      <w:r>
        <w:rPr>
          <w:rFonts w:asciiTheme="minorHAnsi" w:hAnsiTheme="minorHAnsi" w:cstheme="minorHAnsi"/>
        </w:rPr>
        <w:t xml:space="preserve"> lõikes 4.  </w:t>
      </w:r>
    </w:p>
    <w:p w14:paraId="68371BEF" w14:textId="77777777" w:rsidR="00B731C3" w:rsidRDefault="00B731C3" w:rsidP="00B731C3">
      <w:pPr>
        <w:pStyle w:val="muudetavtekst"/>
        <w:rPr>
          <w:rFonts w:asciiTheme="minorHAnsi" w:hAnsiTheme="minorHAnsi" w:cstheme="minorHAnsi"/>
        </w:rPr>
      </w:pPr>
    </w:p>
    <w:p w14:paraId="2537A07A" w14:textId="77777777" w:rsidR="00B731C3" w:rsidRPr="00821AC3" w:rsidRDefault="00B731C3" w:rsidP="00B731C3">
      <w:pPr>
        <w:pStyle w:val="muudetavtekst"/>
        <w:rPr>
          <w:rFonts w:asciiTheme="minorHAnsi" w:hAnsiTheme="minorHAnsi" w:cstheme="minorHAnsi"/>
        </w:rPr>
      </w:pPr>
      <w:r w:rsidRPr="00814870">
        <w:rPr>
          <w:rFonts w:asciiTheme="minorHAnsi" w:hAnsiTheme="minorHAnsi" w:cstheme="minorHAnsi"/>
          <w:b/>
          <w:bCs/>
        </w:rPr>
        <w:t xml:space="preserve">Punktiga </w:t>
      </w:r>
      <w:r>
        <w:rPr>
          <w:rFonts w:asciiTheme="minorHAnsi" w:hAnsiTheme="minorHAnsi" w:cstheme="minorHAnsi"/>
          <w:b/>
          <w:bCs/>
        </w:rPr>
        <w:t>15</w:t>
      </w:r>
      <w:r>
        <w:rPr>
          <w:rFonts w:asciiTheme="minorHAnsi" w:hAnsiTheme="minorHAnsi" w:cstheme="minorHAnsi"/>
        </w:rPr>
        <w:t xml:space="preserve"> </w:t>
      </w:r>
      <w:r w:rsidRPr="00821AC3">
        <w:rPr>
          <w:rFonts w:asciiTheme="minorHAnsi" w:hAnsiTheme="minorHAnsi" w:cstheme="minorHAnsi"/>
        </w:rPr>
        <w:t>muudetakse EnKSi § 3 lõiget 1 ja asendatakse aastaarv 2020 aastaarvuga 2030, sest energiatõhususe uued kohustused määratakse direktiiviga aastani 2030.</w:t>
      </w:r>
      <w:r>
        <w:rPr>
          <w:rFonts w:asciiTheme="minorHAnsi" w:hAnsiTheme="minorHAnsi" w:cstheme="minorHAnsi"/>
        </w:rPr>
        <w:t xml:space="preserve"> </w:t>
      </w:r>
      <w:r w:rsidRPr="00821AC3">
        <w:rPr>
          <w:rFonts w:asciiTheme="minorHAnsi" w:hAnsiTheme="minorHAnsi" w:cstheme="minorHAnsi"/>
        </w:rPr>
        <w:t>Muudatus on seotud direktiivi artikkel 4 lõikega 1.</w:t>
      </w:r>
    </w:p>
    <w:p w14:paraId="62143D70" w14:textId="77777777" w:rsidR="00B731C3" w:rsidRPr="00821AC3" w:rsidRDefault="00B731C3" w:rsidP="00B731C3">
      <w:pPr>
        <w:pStyle w:val="muudetavtekst"/>
        <w:rPr>
          <w:rFonts w:asciiTheme="minorHAnsi" w:hAnsiTheme="minorHAnsi" w:cstheme="minorHAnsi"/>
        </w:rPr>
      </w:pPr>
    </w:p>
    <w:p w14:paraId="3D85D8B7" w14:textId="77777777" w:rsidR="00B731C3" w:rsidRDefault="00B731C3" w:rsidP="00B731C3">
      <w:pPr>
        <w:pStyle w:val="muudetavtekst"/>
        <w:rPr>
          <w:rFonts w:asciiTheme="minorHAnsi" w:hAnsiTheme="minorHAnsi" w:cstheme="minorHAnsi"/>
        </w:rPr>
      </w:pPr>
      <w:r w:rsidRPr="002E660D">
        <w:rPr>
          <w:rFonts w:asciiTheme="minorHAnsi" w:hAnsiTheme="minorHAnsi" w:cstheme="minorHAnsi"/>
          <w:b/>
          <w:bCs/>
        </w:rPr>
        <w:t xml:space="preserve">Punktiga </w:t>
      </w:r>
      <w:r>
        <w:rPr>
          <w:rFonts w:asciiTheme="minorHAnsi" w:hAnsiTheme="minorHAnsi" w:cstheme="minorHAnsi"/>
          <w:b/>
          <w:bCs/>
        </w:rPr>
        <w:t>16</w:t>
      </w:r>
      <w:r w:rsidRPr="00821AC3">
        <w:rPr>
          <w:rFonts w:asciiTheme="minorHAnsi" w:hAnsiTheme="minorHAnsi" w:cstheme="minorHAnsi"/>
        </w:rPr>
        <w:t xml:space="preserve"> muudetakse EnKSi § 3 lõike 2 punkti 1, kus asendatakse aastaarv 2020 aastaarvuga 2030, samuti ajakohastati Euroopa Liidu primaarenergia tarbimise eesmärki (992,5 miljonit naftaekvivalenttonni) ja lõpptarbimise eesmärki (763 miljonit naftaekvivalenttonni).</w:t>
      </w:r>
      <w:r>
        <w:rPr>
          <w:rFonts w:asciiTheme="minorHAnsi" w:hAnsiTheme="minorHAnsi" w:cstheme="minorHAnsi"/>
        </w:rPr>
        <w:t xml:space="preserve"> </w:t>
      </w:r>
      <w:r w:rsidRPr="00821AC3">
        <w:rPr>
          <w:rFonts w:asciiTheme="minorHAnsi" w:hAnsiTheme="minorHAnsi" w:cstheme="minorHAnsi"/>
        </w:rPr>
        <w:t>Muudatus on seotud direktiivi artikkel 4 lõikega 1.</w:t>
      </w:r>
    </w:p>
    <w:p w14:paraId="52D7B4F4" w14:textId="77777777" w:rsidR="00B731C3" w:rsidRPr="005D6D1B" w:rsidRDefault="00B731C3" w:rsidP="00B731C3">
      <w:pPr>
        <w:pStyle w:val="muudetavtekst"/>
        <w:rPr>
          <w:rFonts w:asciiTheme="minorHAnsi" w:hAnsiTheme="minorHAnsi" w:cstheme="minorHAnsi"/>
        </w:rPr>
      </w:pPr>
    </w:p>
    <w:p w14:paraId="3845D1A1" w14:textId="77777777" w:rsidR="00B731C3" w:rsidRDefault="00B731C3" w:rsidP="00B731C3">
      <w:pPr>
        <w:pStyle w:val="muudetavtekst"/>
        <w:rPr>
          <w:rFonts w:asciiTheme="minorHAnsi" w:hAnsiTheme="minorHAnsi" w:cstheme="minorHAnsi"/>
        </w:rPr>
      </w:pPr>
      <w:r w:rsidRPr="00D2208B">
        <w:rPr>
          <w:rFonts w:asciiTheme="minorHAnsi" w:hAnsiTheme="minorHAnsi" w:cstheme="minorHAnsi"/>
          <w:b/>
          <w:bCs/>
        </w:rPr>
        <w:t xml:space="preserve">Punktiga </w:t>
      </w:r>
      <w:r>
        <w:rPr>
          <w:rFonts w:asciiTheme="minorHAnsi" w:hAnsiTheme="minorHAnsi" w:cstheme="minorHAnsi"/>
          <w:b/>
          <w:bCs/>
        </w:rPr>
        <w:t>17</w:t>
      </w:r>
      <w:r>
        <w:rPr>
          <w:rFonts w:asciiTheme="minorHAnsi" w:hAnsiTheme="minorHAnsi" w:cstheme="minorHAnsi"/>
        </w:rPr>
        <w:t xml:space="preserve"> </w:t>
      </w:r>
      <w:r w:rsidRPr="00BD5F4F">
        <w:rPr>
          <w:rFonts w:asciiTheme="minorHAnsi" w:hAnsiTheme="minorHAnsi" w:cstheme="minorHAnsi"/>
        </w:rPr>
        <w:t>täiendatakse EnKS</w:t>
      </w:r>
      <w:r>
        <w:rPr>
          <w:rFonts w:asciiTheme="minorHAnsi" w:hAnsiTheme="minorHAnsi" w:cstheme="minorHAnsi"/>
        </w:rPr>
        <w:t>i</w:t>
      </w:r>
      <w:r w:rsidRPr="00BD5F4F">
        <w:rPr>
          <w:rFonts w:asciiTheme="minorHAnsi" w:hAnsiTheme="minorHAnsi" w:cstheme="minorHAnsi"/>
        </w:rPr>
        <w:t xml:space="preserve"> § 4</w:t>
      </w:r>
      <w:r>
        <w:rPr>
          <w:rFonts w:asciiTheme="minorHAnsi" w:hAnsiTheme="minorHAnsi" w:cstheme="minorHAnsi"/>
          <w:vertAlign w:val="superscript"/>
        </w:rPr>
        <w:t>2</w:t>
      </w:r>
      <w:r>
        <w:rPr>
          <w:rFonts w:asciiTheme="minorHAnsi" w:hAnsiTheme="minorHAnsi" w:cstheme="minorHAnsi"/>
        </w:rPr>
        <w:t xml:space="preserve">, </w:t>
      </w:r>
      <w:r w:rsidRPr="00BD5F4F">
        <w:rPr>
          <w:rFonts w:asciiTheme="minorHAnsi" w:hAnsiTheme="minorHAnsi" w:cstheme="minorHAnsi"/>
        </w:rPr>
        <w:t xml:space="preserve">mis sätestab </w:t>
      </w:r>
      <w:r>
        <w:rPr>
          <w:rFonts w:asciiTheme="minorHAnsi" w:hAnsiTheme="minorHAnsi" w:cstheme="minorHAnsi"/>
        </w:rPr>
        <w:t xml:space="preserve">avaliku sektori asutuste summaarse energiasäästu kohustuse. Võetakse üle direktiivi artikkel 5 punktid 1-4. </w:t>
      </w:r>
    </w:p>
    <w:p w14:paraId="6987D0EC" w14:textId="77777777" w:rsidR="00B731C3" w:rsidRDefault="00B731C3" w:rsidP="00B731C3">
      <w:pPr>
        <w:pStyle w:val="muudetavtekst"/>
        <w:rPr>
          <w:rFonts w:asciiTheme="minorHAnsi" w:hAnsiTheme="minorHAnsi" w:cstheme="minorHAnsi"/>
        </w:rPr>
      </w:pPr>
      <w:r w:rsidRPr="005A2FE2">
        <w:rPr>
          <w:rFonts w:asciiTheme="minorHAnsi" w:hAnsiTheme="minorHAnsi" w:cstheme="minorHAnsi"/>
        </w:rPr>
        <w:t>Lõige 1 sätestab</w:t>
      </w:r>
      <w:r>
        <w:rPr>
          <w:rFonts w:asciiTheme="minorHAnsi" w:hAnsiTheme="minorHAnsi" w:cstheme="minorHAnsi"/>
        </w:rPr>
        <w:t xml:space="preserve">, et kõigi </w:t>
      </w:r>
      <w:r w:rsidRPr="00BD5F4F">
        <w:rPr>
          <w:rFonts w:asciiTheme="minorHAnsi" w:hAnsiTheme="minorHAnsi" w:cstheme="minorHAnsi"/>
        </w:rPr>
        <w:t>avaliku sektori asutuste summaarset energia lõpptarbimist vähendatakse igal aastal vähemalt 1,9% võrreldes võrdlusaastaga 2021.</w:t>
      </w:r>
      <w:r>
        <w:rPr>
          <w:rFonts w:asciiTheme="minorHAnsi" w:hAnsiTheme="minorHAnsi" w:cstheme="minorHAnsi"/>
        </w:rPr>
        <w:t xml:space="preserve"> </w:t>
      </w:r>
      <w:r w:rsidRPr="00BD5F4F">
        <w:rPr>
          <w:rFonts w:asciiTheme="minorHAnsi" w:hAnsiTheme="minorHAnsi" w:cstheme="minorHAnsi"/>
        </w:rPr>
        <w:t>Direktiiv võimaldab teha energiasäästu kohustuse välistuse ühistranspordile ja relvajõududele, mida Eesti kasuta</w:t>
      </w:r>
      <w:r>
        <w:rPr>
          <w:rFonts w:asciiTheme="minorHAnsi" w:hAnsiTheme="minorHAnsi" w:cstheme="minorHAnsi"/>
        </w:rPr>
        <w:t xml:space="preserve">b. </w:t>
      </w:r>
      <w:r w:rsidRPr="00E93E9A">
        <w:rPr>
          <w:rFonts w:asciiTheme="minorHAnsi" w:hAnsiTheme="minorHAnsi" w:cstheme="minorHAnsi"/>
        </w:rPr>
        <w:t xml:space="preserve">Siiski jääb relvajõududele ja ühistranspordile energiatarbimise seirekohusust ning kui nendel tegevusaladel saavutatakse 2030 energiasääst võrreldes 2021 aastaga, saab säästu arvestada üldise avaliku sektori energiasäästu </w:t>
      </w:r>
      <w:r>
        <w:rPr>
          <w:rFonts w:asciiTheme="minorHAnsi" w:hAnsiTheme="minorHAnsi" w:cstheme="minorHAnsi"/>
        </w:rPr>
        <w:t>hulka.</w:t>
      </w:r>
    </w:p>
    <w:p w14:paraId="1A66D9DC" w14:textId="77777777" w:rsidR="00B731C3" w:rsidRPr="000D3B05" w:rsidRDefault="00B731C3" w:rsidP="00B731C3">
      <w:pPr>
        <w:pStyle w:val="muudetavtekst"/>
        <w:rPr>
          <w:rFonts w:asciiTheme="minorHAnsi" w:hAnsiTheme="minorHAnsi" w:cstheme="minorBidi"/>
        </w:rPr>
      </w:pPr>
      <w:r w:rsidRPr="490A73E8">
        <w:rPr>
          <w:rFonts w:asciiTheme="minorHAnsi" w:hAnsiTheme="minorHAnsi" w:cstheme="minorBidi"/>
        </w:rPr>
        <w:t>Majanduslikult atraktiivseid energiatõhususe parandamise võimalusi leidub märkimisväärsel hulgal ühistranspordisektoris, eelkõige transpordi elektrifitseerimise</w:t>
      </w:r>
      <w:r>
        <w:rPr>
          <w:rFonts w:asciiTheme="minorHAnsi" w:hAnsiTheme="minorHAnsi" w:cstheme="minorBidi"/>
        </w:rPr>
        <w:t>ga</w:t>
      </w:r>
      <w:r w:rsidRPr="490A73E8">
        <w:rPr>
          <w:rFonts w:asciiTheme="minorHAnsi" w:hAnsiTheme="minorHAnsi" w:cstheme="minorBidi"/>
        </w:rPr>
        <w:t>. Ühistransport on ainus majandussektor, kus energiatarbimine on aastate jooksul pidevalt kasvanud. Tuleb vahet teha, et säästukohustuse alt jäävad välja</w:t>
      </w:r>
      <w:r>
        <w:rPr>
          <w:rFonts w:asciiTheme="minorHAnsi" w:hAnsiTheme="minorHAnsi" w:cstheme="minorBidi"/>
        </w:rPr>
        <w:t xml:space="preserve"> ühistranspordi</w:t>
      </w:r>
      <w:r w:rsidRPr="490A73E8">
        <w:rPr>
          <w:rFonts w:asciiTheme="minorHAnsi" w:hAnsiTheme="minorHAnsi" w:cstheme="minorBidi"/>
        </w:rPr>
        <w:t>vedajad, kuid taristu omanikele säästukohustus</w:t>
      </w:r>
      <w:r w:rsidRPr="00D406BB">
        <w:rPr>
          <w:rFonts w:asciiTheme="minorHAnsi" w:hAnsiTheme="minorHAnsi" w:cstheme="minorBidi"/>
        </w:rPr>
        <w:t xml:space="preserve"> </w:t>
      </w:r>
      <w:r w:rsidRPr="490A73E8">
        <w:rPr>
          <w:rFonts w:asciiTheme="minorHAnsi" w:hAnsiTheme="minorHAnsi" w:cstheme="minorBidi"/>
        </w:rPr>
        <w:t xml:space="preserve">jääb. </w:t>
      </w:r>
      <w:r>
        <w:rPr>
          <w:rFonts w:asciiTheme="minorHAnsi" w:hAnsiTheme="minorHAnsi" w:cstheme="minorBidi"/>
        </w:rPr>
        <w:t>Taristu säästlikumaks renoveerimisel (</w:t>
      </w:r>
      <w:r w:rsidRPr="490A73E8">
        <w:rPr>
          <w:rFonts w:asciiTheme="minorHAnsi" w:hAnsiTheme="minorHAnsi" w:cstheme="minorBidi"/>
        </w:rPr>
        <w:t>nt LED</w:t>
      </w:r>
      <w:r>
        <w:rPr>
          <w:rFonts w:asciiTheme="minorHAnsi" w:hAnsiTheme="minorHAnsi" w:cstheme="minorBidi"/>
        </w:rPr>
        <w:t>-</w:t>
      </w:r>
      <w:r w:rsidRPr="490A73E8">
        <w:rPr>
          <w:rFonts w:asciiTheme="minorHAnsi" w:hAnsiTheme="minorHAnsi" w:cstheme="minorBidi"/>
        </w:rPr>
        <w:t>valgustus, päikesepaneelide kasutamine jt) on mõju püsivam</w:t>
      </w:r>
      <w:r>
        <w:rPr>
          <w:rFonts w:asciiTheme="minorHAnsi" w:hAnsiTheme="minorHAnsi" w:cstheme="minorBidi"/>
        </w:rPr>
        <w:t>, sest energiakasutus ei sõltu maanteel sõitjate arvust</w:t>
      </w:r>
      <w:r w:rsidRPr="490A73E8">
        <w:rPr>
          <w:rFonts w:asciiTheme="minorHAnsi" w:hAnsiTheme="minorHAnsi" w:cstheme="minorBidi"/>
        </w:rPr>
        <w:t>. Ühistranspordi</w:t>
      </w:r>
      <w:r>
        <w:rPr>
          <w:rFonts w:asciiTheme="minorHAnsi" w:hAnsiTheme="minorHAnsi" w:cstheme="minorBidi"/>
        </w:rPr>
        <w:t>vedajate hulka kuuluvad</w:t>
      </w:r>
      <w:r w:rsidRPr="490A73E8">
        <w:rPr>
          <w:rFonts w:asciiTheme="minorHAnsi" w:hAnsiTheme="minorHAnsi" w:cstheme="minorBidi"/>
        </w:rPr>
        <w:t xml:space="preserve"> avaliku sektori asutused</w:t>
      </w:r>
      <w:r>
        <w:rPr>
          <w:rFonts w:asciiTheme="minorHAnsi" w:hAnsiTheme="minorHAnsi" w:cstheme="minorBidi"/>
        </w:rPr>
        <w:t>,</w:t>
      </w:r>
      <w:r w:rsidRPr="490A73E8">
        <w:rPr>
          <w:rFonts w:asciiTheme="minorHAnsi" w:hAnsiTheme="minorHAnsi" w:cstheme="minorBidi"/>
        </w:rPr>
        <w:t xml:space="preserve"> nagu Tallinna Linnatransport AS, TS Laevad OÜ, AS Eesti Liinirongid.</w:t>
      </w:r>
    </w:p>
    <w:p w14:paraId="76C08484" w14:textId="77777777" w:rsidR="00B731C3" w:rsidRPr="00BD5F4F" w:rsidRDefault="00B731C3" w:rsidP="00B731C3">
      <w:pPr>
        <w:pStyle w:val="muudetavtekst"/>
        <w:rPr>
          <w:rFonts w:asciiTheme="minorHAnsi" w:hAnsiTheme="minorHAnsi" w:cstheme="minorHAnsi"/>
        </w:rPr>
      </w:pPr>
      <w:r w:rsidRPr="00BD5F4F">
        <w:rPr>
          <w:rFonts w:asciiTheme="minorHAnsi" w:hAnsiTheme="minorHAnsi" w:cstheme="minorHAnsi"/>
        </w:rPr>
        <w:t>Eesti vaates tähenda</w:t>
      </w:r>
      <w:r>
        <w:rPr>
          <w:rFonts w:asciiTheme="minorHAnsi" w:hAnsiTheme="minorHAnsi" w:cstheme="minorHAnsi"/>
        </w:rPr>
        <w:t>vad relvajõud e</w:t>
      </w:r>
      <w:r w:rsidRPr="00BD5F4F">
        <w:rPr>
          <w:rFonts w:asciiTheme="minorHAnsi" w:hAnsiTheme="minorHAnsi" w:cstheme="minorHAnsi"/>
        </w:rPr>
        <w:t>elkõige Kaitseministeeriumi ja Kaitseliidu energiatarbimi</w:t>
      </w:r>
      <w:r>
        <w:rPr>
          <w:rFonts w:asciiTheme="minorHAnsi" w:hAnsiTheme="minorHAnsi" w:cstheme="minorHAnsi"/>
        </w:rPr>
        <w:t>st</w:t>
      </w:r>
      <w:r w:rsidRPr="00BD5F4F">
        <w:rPr>
          <w:rFonts w:asciiTheme="minorHAnsi" w:hAnsiTheme="minorHAnsi" w:cstheme="minorHAnsi"/>
        </w:rPr>
        <w:t xml:space="preserve">, mida ei võeta baastaseme määramisel aluseks </w:t>
      </w:r>
      <w:r>
        <w:rPr>
          <w:rFonts w:asciiTheme="minorHAnsi" w:hAnsiTheme="minorHAnsi" w:cstheme="minorHAnsi"/>
        </w:rPr>
        <w:t>ega</w:t>
      </w:r>
      <w:r w:rsidRPr="00BD5F4F">
        <w:rPr>
          <w:rFonts w:asciiTheme="minorHAnsi" w:hAnsiTheme="minorHAnsi" w:cstheme="minorHAnsi"/>
        </w:rPr>
        <w:t xml:space="preserve"> seata ka energiasäästu kohustust.</w:t>
      </w:r>
    </w:p>
    <w:p w14:paraId="52A8B39D" w14:textId="77777777" w:rsidR="00B731C3" w:rsidRDefault="00B731C3" w:rsidP="00B731C3">
      <w:pPr>
        <w:pStyle w:val="muudetavtekst"/>
        <w:rPr>
          <w:rFonts w:asciiTheme="minorHAnsi" w:hAnsiTheme="minorHAnsi" w:cstheme="minorBidi"/>
        </w:rPr>
      </w:pPr>
      <w:r w:rsidRPr="490A73E8">
        <w:rPr>
          <w:rFonts w:asciiTheme="minorHAnsi" w:hAnsiTheme="minorHAnsi" w:cstheme="minorBidi"/>
        </w:rPr>
        <w:t xml:space="preserve">Relvajõud on energiamahukas sektor nii </w:t>
      </w:r>
      <w:r>
        <w:rPr>
          <w:rFonts w:asciiTheme="minorHAnsi" w:hAnsiTheme="minorHAnsi" w:cstheme="minorBidi"/>
        </w:rPr>
        <w:t xml:space="preserve">Euroopa </w:t>
      </w:r>
      <w:r w:rsidRPr="490A73E8">
        <w:rPr>
          <w:rFonts w:asciiTheme="minorHAnsi" w:hAnsiTheme="minorHAnsi" w:cstheme="minorBidi"/>
        </w:rPr>
        <w:t>liidus kui ka Eestis</w:t>
      </w:r>
      <w:r>
        <w:rPr>
          <w:rFonts w:asciiTheme="minorHAnsi" w:hAnsiTheme="minorHAnsi" w:cstheme="minorBidi"/>
        </w:rPr>
        <w:t xml:space="preserve">. Selle </w:t>
      </w:r>
      <w:r w:rsidRPr="490A73E8">
        <w:rPr>
          <w:rFonts w:asciiTheme="minorHAnsi" w:hAnsiTheme="minorHAnsi" w:cstheme="minorBidi"/>
        </w:rPr>
        <w:t>arvele langeb märkimisväärne osa avaliku sektori energiatarbimisest</w:t>
      </w:r>
      <w:r w:rsidRPr="490A73E8">
        <w:rPr>
          <w:rStyle w:val="Allmrkuseviide"/>
          <w:rFonts w:asciiTheme="minorHAnsi" w:hAnsiTheme="minorHAnsi" w:cstheme="minorBidi"/>
        </w:rPr>
        <w:footnoteReference w:id="22"/>
      </w:r>
      <w:r w:rsidRPr="490A73E8">
        <w:rPr>
          <w:rFonts w:asciiTheme="minorHAnsi" w:hAnsiTheme="minorHAnsi" w:cstheme="minorBidi"/>
        </w:rPr>
        <w:t xml:space="preserve">. </w:t>
      </w:r>
      <w:r>
        <w:rPr>
          <w:rFonts w:asciiTheme="minorHAnsi" w:hAnsiTheme="minorHAnsi" w:cstheme="minorBidi"/>
        </w:rPr>
        <w:t xml:space="preserve">ELi </w:t>
      </w:r>
      <w:r w:rsidRPr="490A73E8">
        <w:rPr>
          <w:rFonts w:asciiTheme="minorHAnsi" w:hAnsiTheme="minorHAnsi" w:cstheme="minorBidi"/>
        </w:rPr>
        <w:t>kaitse- ja julgeolekusektori kestliku energia nõuandefoorumi</w:t>
      </w:r>
      <w:r w:rsidRPr="490A73E8">
        <w:rPr>
          <w:rStyle w:val="Allmrkuseviide"/>
          <w:rFonts w:asciiTheme="minorHAnsi" w:hAnsiTheme="minorHAnsi" w:cstheme="minorBidi"/>
        </w:rPr>
        <w:footnoteReference w:id="23"/>
      </w:r>
      <w:r w:rsidRPr="490A73E8">
        <w:rPr>
          <w:rFonts w:asciiTheme="minorHAnsi" w:hAnsiTheme="minorHAnsi" w:cstheme="minorBidi"/>
        </w:rPr>
        <w:t xml:space="preserve"> töö</w:t>
      </w:r>
      <w:r>
        <w:rPr>
          <w:rFonts w:asciiTheme="minorHAnsi" w:hAnsiTheme="minorHAnsi" w:cstheme="minorBidi"/>
        </w:rPr>
        <w:t xml:space="preserve"> (sai alguse</w:t>
      </w:r>
      <w:r w:rsidRPr="490A73E8">
        <w:rPr>
          <w:rFonts w:asciiTheme="minorHAnsi" w:hAnsiTheme="minorHAnsi" w:cstheme="minorBidi"/>
        </w:rPr>
        <w:t xml:space="preserve"> 2016. a</w:t>
      </w:r>
      <w:r>
        <w:rPr>
          <w:rFonts w:asciiTheme="minorHAnsi" w:hAnsiTheme="minorHAnsi" w:cstheme="minorBidi"/>
        </w:rPr>
        <w:t>) tulemusel</w:t>
      </w:r>
      <w:r w:rsidRPr="490A73E8">
        <w:rPr>
          <w:rFonts w:asciiTheme="minorHAnsi" w:hAnsiTheme="minorHAnsi" w:cstheme="minorBidi"/>
        </w:rPr>
        <w:t xml:space="preserve"> on energiatõhususe parandamise meetmed saanud kaitsesektoris laialdaselt tuntuks ja leidnud üldise poolehoiu. Ka Eesti Kaitseministeerium on loonud oma kliimastrateegia</w:t>
      </w:r>
      <w:r w:rsidRPr="490A73E8">
        <w:rPr>
          <w:rStyle w:val="Allmrkuseviide"/>
          <w:rFonts w:asciiTheme="minorHAnsi" w:hAnsiTheme="minorHAnsi" w:cstheme="minorBidi"/>
        </w:rPr>
        <w:footnoteReference w:id="24"/>
      </w:r>
      <w:r>
        <w:rPr>
          <w:rFonts w:asciiTheme="minorHAnsi" w:hAnsiTheme="minorHAnsi" w:cstheme="minorBidi"/>
        </w:rPr>
        <w:t xml:space="preserve">, </w:t>
      </w:r>
      <w:r w:rsidRPr="490A73E8">
        <w:rPr>
          <w:rFonts w:asciiTheme="minorHAnsi" w:hAnsiTheme="minorHAnsi" w:cstheme="minorBidi"/>
        </w:rPr>
        <w:t>kus on</w:t>
      </w:r>
      <w:r>
        <w:rPr>
          <w:rFonts w:asciiTheme="minorHAnsi" w:hAnsiTheme="minorHAnsi" w:cstheme="minorBidi"/>
        </w:rPr>
        <w:t xml:space="preserve"> seatud</w:t>
      </w:r>
      <w:r w:rsidRPr="490A73E8">
        <w:rPr>
          <w:rFonts w:asciiTheme="minorHAnsi" w:hAnsiTheme="minorHAnsi" w:cstheme="minorBidi"/>
        </w:rPr>
        <w:t xml:space="preserve"> eesmärgid energia- ja ressursitõhususe</w:t>
      </w:r>
      <w:r>
        <w:rPr>
          <w:rFonts w:asciiTheme="minorHAnsi" w:hAnsiTheme="minorHAnsi" w:cstheme="minorBidi"/>
        </w:rPr>
        <w:t>le</w:t>
      </w:r>
      <w:r w:rsidRPr="490A73E8">
        <w:rPr>
          <w:rFonts w:asciiTheme="minorHAnsi" w:hAnsiTheme="minorHAnsi" w:cstheme="minorBidi"/>
        </w:rPr>
        <w:t xml:space="preserve"> (energiasäästlikud hooned ja taastuvenergia kasutamine) ja transpordil</w:t>
      </w:r>
      <w:r>
        <w:rPr>
          <w:rFonts w:asciiTheme="minorHAnsi" w:hAnsiTheme="minorHAnsi" w:cstheme="minorBidi"/>
        </w:rPr>
        <w:t>e</w:t>
      </w:r>
      <w:r w:rsidRPr="490A73E8">
        <w:rPr>
          <w:rFonts w:asciiTheme="minorHAnsi" w:hAnsiTheme="minorHAnsi" w:cstheme="minorBidi"/>
        </w:rPr>
        <w:t xml:space="preserve"> (säästlikumad transpordilahendused, näiteks alternatiivkütuste või keskkonnahoidlike sõidukite kasutuselevõt</w:t>
      </w:r>
      <w:r>
        <w:rPr>
          <w:rFonts w:asciiTheme="minorHAnsi" w:hAnsiTheme="minorHAnsi" w:cstheme="minorBidi"/>
        </w:rPr>
        <w:t>t</w:t>
      </w:r>
      <w:r w:rsidRPr="490A73E8">
        <w:rPr>
          <w:rFonts w:asciiTheme="minorHAnsi" w:hAnsiTheme="minorHAnsi" w:cstheme="minorBidi"/>
        </w:rPr>
        <w:t>, logistika optimeerimi</w:t>
      </w:r>
      <w:r>
        <w:rPr>
          <w:rFonts w:asciiTheme="minorHAnsi" w:hAnsiTheme="minorHAnsi" w:cstheme="minorBidi"/>
        </w:rPr>
        <w:t>ne</w:t>
      </w:r>
      <w:r w:rsidRPr="490A73E8">
        <w:rPr>
          <w:rFonts w:asciiTheme="minorHAnsi" w:hAnsiTheme="minorHAnsi" w:cstheme="minorBidi"/>
        </w:rPr>
        <w:t xml:space="preserve"> ning sõidukite energiatõhususe suurendamine). Nimetatud kliimastrateegias on kaitsevaldkonna eesmärk suurendada 2030. aastaks ehitiste </w:t>
      </w:r>
      <w:r w:rsidRPr="490A73E8">
        <w:rPr>
          <w:rFonts w:asciiTheme="minorHAnsi" w:hAnsiTheme="minorHAnsi" w:cstheme="minorBidi"/>
        </w:rPr>
        <w:lastRenderedPageBreak/>
        <w:t xml:space="preserve">energiatõhusust 5% </w:t>
      </w:r>
      <w:r>
        <w:rPr>
          <w:rFonts w:asciiTheme="minorHAnsi" w:hAnsiTheme="minorHAnsi" w:cstheme="minorBidi"/>
        </w:rPr>
        <w:t>ning</w:t>
      </w:r>
      <w:r w:rsidRPr="490A73E8">
        <w:rPr>
          <w:rFonts w:asciiTheme="minorHAnsi" w:hAnsiTheme="minorHAnsi" w:cstheme="minorBidi"/>
        </w:rPr>
        <w:t xml:space="preserve"> kui see saavutatakse, saab selle säästu arvesse võtta 2030 avaliku sektori kokkuhoi</w:t>
      </w:r>
      <w:r>
        <w:rPr>
          <w:rFonts w:asciiTheme="minorHAnsi" w:hAnsiTheme="minorHAnsi" w:cstheme="minorBidi"/>
        </w:rPr>
        <w:t>us</w:t>
      </w:r>
      <w:r w:rsidRPr="490A73E8">
        <w:rPr>
          <w:rFonts w:asciiTheme="minorHAnsi" w:hAnsiTheme="minorHAnsi" w:cstheme="minorBidi"/>
        </w:rPr>
        <w:t>.</w:t>
      </w:r>
    </w:p>
    <w:p w14:paraId="2CFF6B06" w14:textId="77777777" w:rsidR="00B731C3" w:rsidRDefault="00B731C3" w:rsidP="00B731C3">
      <w:pPr>
        <w:pStyle w:val="muudetavtekst"/>
        <w:rPr>
          <w:rFonts w:asciiTheme="minorHAnsi" w:hAnsiTheme="minorHAnsi" w:cstheme="minorBidi"/>
        </w:rPr>
      </w:pPr>
      <w:r w:rsidRPr="006C3B7C">
        <w:rPr>
          <w:rFonts w:asciiTheme="minorHAnsi" w:hAnsiTheme="minorHAnsi" w:cstheme="minorBidi"/>
        </w:rPr>
        <w:t>Lõikes 2</w:t>
      </w:r>
      <w:r w:rsidRPr="490A73E8">
        <w:rPr>
          <w:rFonts w:asciiTheme="minorHAnsi" w:hAnsiTheme="minorHAnsi" w:cstheme="minorBidi"/>
        </w:rPr>
        <w:t xml:space="preserve"> sätestatakse</w:t>
      </w:r>
      <w:r>
        <w:rPr>
          <w:rFonts w:asciiTheme="minorHAnsi" w:hAnsiTheme="minorHAnsi" w:cstheme="minorBidi"/>
        </w:rPr>
        <w:t>,</w:t>
      </w:r>
      <w:r w:rsidRPr="490A73E8">
        <w:rPr>
          <w:rFonts w:asciiTheme="minorHAnsi" w:hAnsiTheme="minorHAnsi" w:cstheme="minorBidi"/>
        </w:rPr>
        <w:t xml:space="preserve"> et energiasäästu arvestamisel saab arvesse võtta ka kliimaerinevusi.</w:t>
      </w:r>
      <w:r>
        <w:rPr>
          <w:rFonts w:asciiTheme="minorHAnsi" w:hAnsiTheme="minorHAnsi" w:cstheme="minorBidi"/>
        </w:rPr>
        <w:t xml:space="preserve"> Kliimaerinevuste all mõeldakse </w:t>
      </w:r>
      <w:r w:rsidRPr="490A73E8">
        <w:rPr>
          <w:rFonts w:asciiTheme="minorHAnsi" w:hAnsiTheme="minorHAnsi" w:cstheme="minorBidi"/>
        </w:rPr>
        <w:t xml:space="preserve"> eelkõige kraadpäevi</w:t>
      </w:r>
      <w:r>
        <w:rPr>
          <w:rStyle w:val="Allmrkuseviide"/>
          <w:rFonts w:asciiTheme="minorHAnsi" w:hAnsiTheme="minorHAnsi" w:cstheme="minorBidi"/>
        </w:rPr>
        <w:footnoteReference w:id="25"/>
      </w:r>
      <w:r w:rsidRPr="490A73E8">
        <w:rPr>
          <w:rFonts w:asciiTheme="minorHAnsi" w:hAnsiTheme="minorHAnsi" w:cstheme="minorBidi"/>
        </w:rPr>
        <w:t xml:space="preserve"> hoonete kütte ja jahutuse vajaduse määramisel ja taandamisel normaalaastale, et arvesse võtta võimaliku energiatarbimise kasvu</w:t>
      </w:r>
      <w:r>
        <w:rPr>
          <w:rFonts w:asciiTheme="minorHAnsi" w:hAnsiTheme="minorHAnsi" w:cstheme="minorBidi"/>
        </w:rPr>
        <w:t>,</w:t>
      </w:r>
      <w:r w:rsidRPr="490A73E8">
        <w:rPr>
          <w:rFonts w:asciiTheme="minorHAnsi" w:hAnsiTheme="minorHAnsi" w:cstheme="minorBidi"/>
        </w:rPr>
        <w:t xml:space="preserve"> kui on külm talv või kuum suvi. Eesti piirkondade kraadpäevade andmed erinevatel tasakaalutemperatuuridel ja aastatel lei</w:t>
      </w:r>
      <w:r>
        <w:rPr>
          <w:rFonts w:asciiTheme="minorHAnsi" w:hAnsiTheme="minorHAnsi" w:cstheme="minorBidi"/>
        </w:rPr>
        <w:t>ab</w:t>
      </w:r>
      <w:r w:rsidRPr="490A73E8">
        <w:rPr>
          <w:rFonts w:asciiTheme="minorHAnsi" w:hAnsiTheme="minorHAnsi" w:cstheme="minorBidi"/>
        </w:rPr>
        <w:t xml:space="preserve"> Ehitisregistris</w:t>
      </w:r>
      <w:r>
        <w:rPr>
          <w:rFonts w:asciiTheme="minorHAnsi" w:hAnsiTheme="minorHAnsi" w:cstheme="minorBidi"/>
        </w:rPr>
        <w:t>t</w:t>
      </w:r>
      <w:r w:rsidRPr="490A73E8">
        <w:rPr>
          <w:rStyle w:val="Allmrkuseviide"/>
          <w:rFonts w:asciiTheme="minorHAnsi" w:hAnsiTheme="minorHAnsi" w:cstheme="minorBidi"/>
        </w:rPr>
        <w:footnoteReference w:id="26"/>
      </w:r>
      <w:r w:rsidRPr="490A73E8">
        <w:rPr>
          <w:rFonts w:asciiTheme="minorHAnsi" w:hAnsiTheme="minorHAnsi" w:cstheme="minorBidi"/>
        </w:rPr>
        <w:t>.</w:t>
      </w:r>
    </w:p>
    <w:p w14:paraId="5DB9889D" w14:textId="77777777" w:rsidR="00B731C3" w:rsidRPr="00336D06" w:rsidRDefault="00B731C3" w:rsidP="00B731C3">
      <w:pPr>
        <w:pStyle w:val="muudetavtekst"/>
        <w:rPr>
          <w:rFonts w:asciiTheme="minorHAnsi" w:hAnsiTheme="minorHAnsi" w:cstheme="minorHAnsi"/>
        </w:rPr>
      </w:pPr>
      <w:r w:rsidRPr="006C3B7C">
        <w:rPr>
          <w:rFonts w:asciiTheme="minorHAnsi" w:hAnsiTheme="minorHAnsi" w:cstheme="minorHAnsi"/>
        </w:rPr>
        <w:t>Lõikes 3</w:t>
      </w:r>
      <w:r>
        <w:rPr>
          <w:rFonts w:asciiTheme="minorHAnsi" w:hAnsiTheme="minorHAnsi" w:cstheme="minorHAnsi"/>
        </w:rPr>
        <w:t xml:space="preserve"> sätestatakse, et avaliku sektori energiasäästu koordinaatori rolli täidab Tarbijakaitse ja Tehnilise Järelevalve Amet, kelle ülesanne on koordineerida seiresüsteemi loomist ning ka hilisemat tuge avalikule sektorile, kuidas ja mis meetmetega energiatõhusust </w:t>
      </w:r>
      <w:r w:rsidRPr="00C65241">
        <w:rPr>
          <w:rFonts w:asciiTheme="minorHAnsi" w:hAnsiTheme="minorHAnsi" w:cstheme="minorHAnsi"/>
        </w:rPr>
        <w:t>saavuta</w:t>
      </w:r>
      <w:r>
        <w:rPr>
          <w:rFonts w:asciiTheme="minorHAnsi" w:hAnsiTheme="minorHAnsi" w:cstheme="minorHAnsi"/>
        </w:rPr>
        <w:t>da</w:t>
      </w:r>
      <w:r w:rsidRPr="00C65241">
        <w:rPr>
          <w:rFonts w:asciiTheme="minorHAnsi" w:hAnsiTheme="minorHAnsi" w:cstheme="minorHAnsi"/>
        </w:rPr>
        <w:t xml:space="preserve">. Mõju TTJA-le on </w:t>
      </w:r>
      <w:r>
        <w:rPr>
          <w:rFonts w:asciiTheme="minorHAnsi" w:hAnsiTheme="minorHAnsi" w:cstheme="minorHAnsi"/>
        </w:rPr>
        <w:t xml:space="preserve">analüüsitud </w:t>
      </w:r>
      <w:r w:rsidRPr="00C65241">
        <w:rPr>
          <w:rFonts w:asciiTheme="minorHAnsi" w:hAnsiTheme="minorHAnsi" w:cstheme="minorHAnsi"/>
        </w:rPr>
        <w:t>punktis 6.5</w:t>
      </w:r>
      <w:r>
        <w:rPr>
          <w:rFonts w:asciiTheme="minorHAnsi" w:hAnsiTheme="minorHAnsi" w:cstheme="minorHAnsi"/>
        </w:rPr>
        <w:t>.</w:t>
      </w:r>
    </w:p>
    <w:p w14:paraId="31BADB28" w14:textId="77777777" w:rsidR="00B731C3" w:rsidRDefault="00B731C3" w:rsidP="00B731C3">
      <w:pPr>
        <w:pStyle w:val="muudetavtekst"/>
        <w:rPr>
          <w:rFonts w:asciiTheme="minorHAnsi" w:hAnsiTheme="minorHAnsi" w:cstheme="minorHAnsi"/>
        </w:rPr>
      </w:pPr>
    </w:p>
    <w:p w14:paraId="68766B7D" w14:textId="77777777" w:rsidR="00B731C3" w:rsidRPr="007A12E9" w:rsidRDefault="00B731C3" w:rsidP="00B731C3">
      <w:pPr>
        <w:pStyle w:val="muudetavtekst"/>
        <w:rPr>
          <w:rFonts w:asciiTheme="minorHAnsi" w:hAnsiTheme="minorHAnsi" w:cstheme="minorHAnsi"/>
          <w:b/>
          <w:bCs/>
        </w:rPr>
      </w:pPr>
      <w:r w:rsidRPr="007A12E9">
        <w:rPr>
          <w:rFonts w:asciiTheme="minorHAnsi" w:hAnsiTheme="minorHAnsi" w:cstheme="minorHAnsi"/>
          <w:b/>
          <w:bCs/>
        </w:rPr>
        <w:t xml:space="preserve">Avaliku sektori asutuste kokkuhoid. </w:t>
      </w:r>
    </w:p>
    <w:p w14:paraId="22069213" w14:textId="77777777" w:rsidR="00B731C3" w:rsidRDefault="00B731C3" w:rsidP="00B731C3">
      <w:pPr>
        <w:pStyle w:val="muudetavtekst"/>
        <w:rPr>
          <w:rFonts w:asciiTheme="minorHAnsi" w:hAnsiTheme="minorHAnsi" w:cstheme="minorBidi"/>
        </w:rPr>
      </w:pPr>
      <w:r>
        <w:rPr>
          <w:rFonts w:asciiTheme="minorHAnsi" w:hAnsiTheme="minorHAnsi" w:cstheme="minorBidi"/>
        </w:rPr>
        <w:t>Kogu</w:t>
      </w:r>
      <w:r w:rsidRPr="57490200">
        <w:rPr>
          <w:rFonts w:asciiTheme="minorHAnsi" w:hAnsiTheme="minorHAnsi" w:cstheme="minorBidi"/>
        </w:rPr>
        <w:t xml:space="preserve"> Euroopa Liidu energia lõpptarbimisest</w:t>
      </w:r>
      <w:r w:rsidRPr="00B47632">
        <w:rPr>
          <w:rFonts w:asciiTheme="minorHAnsi" w:hAnsiTheme="minorHAnsi" w:cstheme="minorBidi"/>
        </w:rPr>
        <w:t xml:space="preserve"> </w:t>
      </w:r>
      <w:r w:rsidRPr="57490200">
        <w:rPr>
          <w:rFonts w:asciiTheme="minorHAnsi" w:hAnsiTheme="minorHAnsi" w:cstheme="minorBidi"/>
        </w:rPr>
        <w:t>moodustab</w:t>
      </w:r>
      <w:r w:rsidRPr="00B47632">
        <w:rPr>
          <w:rFonts w:asciiTheme="minorHAnsi" w:hAnsiTheme="minorHAnsi" w:cstheme="minorBidi"/>
        </w:rPr>
        <w:t xml:space="preserve"> </w:t>
      </w:r>
      <w:r>
        <w:rPr>
          <w:rFonts w:asciiTheme="minorHAnsi" w:hAnsiTheme="minorHAnsi" w:cstheme="minorBidi"/>
        </w:rPr>
        <w:t>a</w:t>
      </w:r>
      <w:r w:rsidRPr="57490200">
        <w:rPr>
          <w:rFonts w:asciiTheme="minorHAnsi" w:hAnsiTheme="minorHAnsi" w:cstheme="minorBidi"/>
        </w:rPr>
        <w:t>valik</w:t>
      </w:r>
      <w:r>
        <w:rPr>
          <w:rFonts w:asciiTheme="minorHAnsi" w:hAnsiTheme="minorHAnsi" w:cstheme="minorBidi"/>
        </w:rPr>
        <w:t>u</w:t>
      </w:r>
      <w:r w:rsidRPr="57490200">
        <w:rPr>
          <w:rFonts w:asciiTheme="minorHAnsi" w:hAnsiTheme="minorHAnsi" w:cstheme="minorBidi"/>
        </w:rPr>
        <w:t xml:space="preserve"> sektor</w:t>
      </w:r>
      <w:r>
        <w:rPr>
          <w:rFonts w:asciiTheme="minorHAnsi" w:hAnsiTheme="minorHAnsi" w:cstheme="minorBidi"/>
        </w:rPr>
        <w:t>i</w:t>
      </w:r>
      <w:r w:rsidRPr="00B47632">
        <w:rPr>
          <w:rFonts w:asciiTheme="minorHAnsi" w:hAnsiTheme="minorHAnsi" w:cstheme="minorBidi"/>
        </w:rPr>
        <w:t xml:space="preserve"> </w:t>
      </w:r>
      <w:r>
        <w:rPr>
          <w:rFonts w:asciiTheme="minorHAnsi" w:hAnsiTheme="minorHAnsi" w:cstheme="minorBidi"/>
        </w:rPr>
        <w:t>lõpptarbimine</w:t>
      </w:r>
      <w:r w:rsidRPr="00B47632">
        <w:rPr>
          <w:rFonts w:asciiTheme="minorHAnsi" w:hAnsiTheme="minorHAnsi" w:cstheme="minorBidi"/>
        </w:rPr>
        <w:t xml:space="preserve"> </w:t>
      </w:r>
      <w:r w:rsidRPr="57490200">
        <w:rPr>
          <w:rFonts w:asciiTheme="minorHAnsi" w:hAnsiTheme="minorHAnsi" w:cstheme="minorBidi"/>
        </w:rPr>
        <w:t>umbes 5–10%. Eesti avaliku sektori tarbimine on ~7-8% riigi kogu energia lõpptarbimisest. Avalik</w:t>
      </w:r>
      <w:r>
        <w:rPr>
          <w:rFonts w:asciiTheme="minorHAnsi" w:hAnsiTheme="minorHAnsi" w:cstheme="minorBidi"/>
        </w:rPr>
        <w:t>ul</w:t>
      </w:r>
      <w:r w:rsidRPr="57490200">
        <w:rPr>
          <w:rFonts w:asciiTheme="minorHAnsi" w:hAnsiTheme="minorHAnsi" w:cstheme="minorBidi"/>
        </w:rPr>
        <w:t xml:space="preserve"> sektor</w:t>
      </w:r>
      <w:r>
        <w:rPr>
          <w:rFonts w:asciiTheme="minorHAnsi" w:hAnsiTheme="minorHAnsi" w:cstheme="minorBidi"/>
        </w:rPr>
        <w:t>il</w:t>
      </w:r>
      <w:r w:rsidRPr="57490200">
        <w:rPr>
          <w:rFonts w:asciiTheme="minorHAnsi" w:hAnsiTheme="minorHAnsi" w:cstheme="minorBidi"/>
        </w:rPr>
        <w:t xml:space="preserve"> tellijana o</w:t>
      </w:r>
      <w:r>
        <w:rPr>
          <w:rFonts w:asciiTheme="minorHAnsi" w:hAnsiTheme="minorHAnsi" w:cstheme="minorBidi"/>
        </w:rPr>
        <w:t>n</w:t>
      </w:r>
      <w:r w:rsidRPr="57490200">
        <w:rPr>
          <w:rFonts w:asciiTheme="minorHAnsi" w:hAnsiTheme="minorHAnsi" w:cstheme="minorBidi"/>
        </w:rPr>
        <w:t xml:space="preserve"> </w:t>
      </w:r>
      <w:r>
        <w:rPr>
          <w:rFonts w:asciiTheme="minorHAnsi" w:hAnsiTheme="minorHAnsi" w:cstheme="minorBidi"/>
        </w:rPr>
        <w:t>suur mõju</w:t>
      </w:r>
      <w:r w:rsidRPr="57490200">
        <w:rPr>
          <w:rFonts w:asciiTheme="minorHAnsi" w:hAnsiTheme="minorHAnsi" w:cstheme="minorBidi"/>
        </w:rPr>
        <w:t xml:space="preserve"> turu liikumis</w:t>
      </w:r>
      <w:r>
        <w:rPr>
          <w:rFonts w:asciiTheme="minorHAnsi" w:hAnsiTheme="minorHAnsi" w:cstheme="minorBidi"/>
        </w:rPr>
        <w:t>ele</w:t>
      </w:r>
      <w:r w:rsidRPr="57490200">
        <w:rPr>
          <w:rFonts w:asciiTheme="minorHAnsi" w:hAnsiTheme="minorHAnsi" w:cstheme="minorBidi"/>
        </w:rPr>
        <w:t xml:space="preserve"> energiatõhusamate toodete, hoonete ja teenuste suunas ning elanike ja ettevõtete energia tarbimisharjumuste muutumis</w:t>
      </w:r>
      <w:r>
        <w:rPr>
          <w:rFonts w:asciiTheme="minorHAnsi" w:hAnsiTheme="minorHAnsi" w:cstheme="minorBidi"/>
        </w:rPr>
        <w:t>ele</w:t>
      </w:r>
      <w:r w:rsidRPr="57490200">
        <w:rPr>
          <w:rFonts w:asciiTheme="minorHAnsi" w:hAnsiTheme="minorHAnsi" w:cstheme="minorBidi"/>
        </w:rPr>
        <w:t xml:space="preserve">. Lisaks sellele vabastab paranenud energiatõhusus väheneva energiatarbimise tõttu avaliku sektori vahendeid, mida saab kasutada muul otstarbel. Seetõttu on avalik sektor oma eri vormides (keskvalitsus, kohalik omavalitused) eeskujuks </w:t>
      </w:r>
      <w:r>
        <w:rPr>
          <w:rFonts w:asciiTheme="minorHAnsi" w:hAnsiTheme="minorHAnsi" w:cstheme="minorBidi"/>
        </w:rPr>
        <w:t>ning</w:t>
      </w:r>
      <w:r w:rsidRPr="57490200">
        <w:rPr>
          <w:rFonts w:asciiTheme="minorHAnsi" w:hAnsiTheme="minorHAnsi" w:cstheme="minorBidi"/>
        </w:rPr>
        <w:t xml:space="preserve"> direktiiv seab</w:t>
      </w:r>
      <w:r>
        <w:rPr>
          <w:rFonts w:asciiTheme="minorHAnsi" w:hAnsiTheme="minorHAnsi" w:cstheme="minorBidi"/>
        </w:rPr>
        <w:t>ki</w:t>
      </w:r>
      <w:r w:rsidRPr="57490200">
        <w:rPr>
          <w:rFonts w:asciiTheme="minorHAnsi" w:hAnsiTheme="minorHAnsi" w:cstheme="minorBidi"/>
        </w:rPr>
        <w:t xml:space="preserve"> eraldi kohustuse riigi avalikule sektorile.</w:t>
      </w:r>
    </w:p>
    <w:p w14:paraId="711E9973" w14:textId="77777777" w:rsidR="00B731C3" w:rsidRPr="00957890" w:rsidRDefault="00B731C3" w:rsidP="00B731C3">
      <w:pPr>
        <w:pStyle w:val="muudetavtekst"/>
        <w:rPr>
          <w:rFonts w:asciiTheme="minorHAnsi" w:hAnsiTheme="minorHAnsi" w:cstheme="minorHAnsi"/>
          <w:u w:val="single"/>
        </w:rPr>
      </w:pPr>
      <w:r w:rsidRPr="57490200">
        <w:rPr>
          <w:rFonts w:asciiTheme="minorHAnsi" w:hAnsiTheme="minorHAnsi" w:cstheme="minorBidi"/>
          <w:u w:val="single"/>
        </w:rPr>
        <w:t xml:space="preserve">Aluspõhimõtted ja baasaasta määramine </w:t>
      </w:r>
    </w:p>
    <w:p w14:paraId="3DF1B39C" w14:textId="77777777" w:rsidR="00B731C3" w:rsidRDefault="00B731C3" w:rsidP="00B731C3">
      <w:pPr>
        <w:pStyle w:val="muudetavtekst"/>
        <w:rPr>
          <w:rFonts w:asciiTheme="minorHAnsi" w:hAnsiTheme="minorHAnsi" w:cstheme="minorBidi"/>
        </w:rPr>
      </w:pPr>
      <w:r w:rsidRPr="57490200">
        <w:rPr>
          <w:rFonts w:asciiTheme="minorHAnsi" w:hAnsiTheme="minorHAnsi" w:cstheme="minorBidi"/>
        </w:rPr>
        <w:t>Avaliku sektori asutuste energia lõpptarbimise all mõeldakse energiat, mis tarbitakse avaliku sektori asutuste tegevuse käigus, näiteks avaliku sektori asutuste omanduses või kasutuses olevate hoonete, rajatiste, ruumide, seadmete, sõidukite jms kasutamisel.</w:t>
      </w:r>
    </w:p>
    <w:p w14:paraId="7C84319F" w14:textId="77777777" w:rsidR="00B731C3" w:rsidRDefault="00B731C3" w:rsidP="00B731C3">
      <w:pPr>
        <w:pStyle w:val="muudetavtekst"/>
        <w:rPr>
          <w:rFonts w:asciiTheme="minorHAnsi" w:hAnsiTheme="minorHAnsi" w:cstheme="minorHAnsi"/>
        </w:rPr>
      </w:pPr>
      <w:r w:rsidRPr="57490200">
        <w:rPr>
          <w:rFonts w:asciiTheme="minorHAnsi" w:hAnsiTheme="minorHAnsi" w:cstheme="minorBidi"/>
        </w:rPr>
        <w:t xml:space="preserve">Kohustus </w:t>
      </w:r>
      <w:r>
        <w:rPr>
          <w:rFonts w:asciiTheme="minorHAnsi" w:hAnsiTheme="minorHAnsi" w:cstheme="minorBidi"/>
        </w:rPr>
        <w:t>käsitleb</w:t>
      </w:r>
      <w:r w:rsidRPr="57490200">
        <w:rPr>
          <w:rFonts w:asciiTheme="minorHAnsi" w:hAnsiTheme="minorHAnsi" w:cstheme="minorBidi"/>
        </w:rPr>
        <w:t xml:space="preserve"> kogu avaliku sektori summaarset energia lõpptarbimist, hõlmates üldkasutatavaid hooneid, tervishoidu, ruumilist planeerimist, veemajandust ja reoveekäitlust, jäätmekäitlust, tänavavalgustust, haridust, sotsiaalteenuseid ja IKTd. Energia lõpptarbimise võrdlusalus on riigi kõigi avaliku sektori asutuste summaarne lõpptarbimine võrdlusaastal (2021), millega võrreldes hinnatakse eesmärgi saavutamist järgnevatel aastatel.</w:t>
      </w:r>
    </w:p>
    <w:p w14:paraId="7670ABAD" w14:textId="77777777" w:rsidR="00B731C3" w:rsidRDefault="00B731C3" w:rsidP="00B731C3">
      <w:pPr>
        <w:pStyle w:val="muudetavtekst"/>
        <w:rPr>
          <w:rFonts w:asciiTheme="minorHAnsi" w:hAnsiTheme="minorHAnsi" w:cstheme="minorBidi"/>
        </w:rPr>
      </w:pPr>
      <w:r w:rsidRPr="57490200">
        <w:rPr>
          <w:rFonts w:asciiTheme="minorHAnsi" w:hAnsiTheme="minorHAnsi" w:cstheme="minorBidi"/>
        </w:rPr>
        <w:t>Avaliku sektori asutustele tekib tegeliku energiatarbimise andmete esitamise kohustus 11.</w:t>
      </w:r>
      <w:r>
        <w:rPr>
          <w:rFonts w:asciiTheme="minorHAnsi" w:hAnsiTheme="minorHAnsi" w:cstheme="minorBidi"/>
        </w:rPr>
        <w:t> </w:t>
      </w:r>
      <w:r w:rsidRPr="57490200">
        <w:rPr>
          <w:rFonts w:asciiTheme="minorHAnsi" w:hAnsiTheme="minorHAnsi" w:cstheme="minorBidi"/>
        </w:rPr>
        <w:t>oktoob</w:t>
      </w:r>
      <w:r>
        <w:rPr>
          <w:rFonts w:asciiTheme="minorHAnsi" w:hAnsiTheme="minorHAnsi" w:cstheme="minorBidi"/>
        </w:rPr>
        <w:t>ril</w:t>
      </w:r>
      <w:r w:rsidRPr="57490200">
        <w:rPr>
          <w:rFonts w:asciiTheme="minorHAnsi" w:hAnsiTheme="minorHAnsi" w:cstheme="minorBidi"/>
        </w:rPr>
        <w:t xml:space="preserve"> 2027</w:t>
      </w:r>
      <w:r>
        <w:rPr>
          <w:rFonts w:asciiTheme="minorHAnsi" w:hAnsiTheme="minorHAnsi" w:cstheme="minorBidi"/>
        </w:rPr>
        <w:t>. B</w:t>
      </w:r>
      <w:r w:rsidRPr="57490200">
        <w:rPr>
          <w:rFonts w:asciiTheme="minorHAnsi" w:hAnsiTheme="minorHAnsi" w:cstheme="minorBidi"/>
        </w:rPr>
        <w:t xml:space="preserve">aastase </w:t>
      </w:r>
      <w:r>
        <w:rPr>
          <w:rFonts w:asciiTheme="minorHAnsi" w:hAnsiTheme="minorHAnsi" w:cstheme="minorBidi"/>
        </w:rPr>
        <w:t xml:space="preserve">on võimalik </w:t>
      </w:r>
      <w:r w:rsidRPr="57490200">
        <w:rPr>
          <w:rFonts w:asciiTheme="minorHAnsi" w:hAnsiTheme="minorHAnsi" w:cstheme="minorBidi"/>
        </w:rPr>
        <w:t>määrata kaudsete meetoditega</w:t>
      </w:r>
      <w:r>
        <w:rPr>
          <w:rFonts w:asciiTheme="minorHAnsi" w:hAnsiTheme="minorHAnsi" w:cstheme="minorBidi"/>
        </w:rPr>
        <w:t xml:space="preserve"> ning korrigeerida</w:t>
      </w:r>
      <w:r w:rsidRPr="57490200">
        <w:rPr>
          <w:rFonts w:asciiTheme="minorHAnsi" w:hAnsiTheme="minorHAnsi" w:cstheme="minorBidi"/>
        </w:rPr>
        <w:t xml:space="preserve"> p</w:t>
      </w:r>
      <w:r>
        <w:rPr>
          <w:rFonts w:asciiTheme="minorHAnsi" w:hAnsiTheme="minorHAnsi" w:cstheme="minorBidi"/>
        </w:rPr>
        <w:t>ärast</w:t>
      </w:r>
      <w:r w:rsidRPr="57490200">
        <w:rPr>
          <w:rFonts w:asciiTheme="minorHAnsi" w:hAnsiTheme="minorHAnsi" w:cstheme="minorBidi"/>
        </w:rPr>
        <w:t xml:space="preserve"> tegelike tarbimisandmete saamist tagantjär</w:t>
      </w:r>
      <w:r>
        <w:rPr>
          <w:rFonts w:asciiTheme="minorHAnsi" w:hAnsiTheme="minorHAnsi" w:cstheme="minorBidi"/>
        </w:rPr>
        <w:t>ele, samuti siis,</w:t>
      </w:r>
      <w:r w:rsidRPr="57490200">
        <w:rPr>
          <w:rFonts w:asciiTheme="minorHAnsi" w:hAnsiTheme="minorHAnsi" w:cstheme="minorBidi"/>
        </w:rPr>
        <w:t xml:space="preserve"> kui mõni avaliku sektori asutus lõpetab tegevuse või tekib uus avaliku sektori asutus juurde.</w:t>
      </w:r>
    </w:p>
    <w:p w14:paraId="5B77030F" w14:textId="77777777" w:rsidR="00B731C3" w:rsidRDefault="00B731C3" w:rsidP="00B731C3">
      <w:pPr>
        <w:pStyle w:val="muudetavtekst"/>
        <w:rPr>
          <w:rFonts w:asciiTheme="minorHAnsi" w:hAnsiTheme="minorHAnsi" w:cstheme="minorHAnsi"/>
        </w:rPr>
      </w:pPr>
    </w:p>
    <w:p w14:paraId="7FBD2FFC" w14:textId="77777777" w:rsidR="00B731C3" w:rsidRDefault="00B731C3" w:rsidP="00B731C3">
      <w:pPr>
        <w:pStyle w:val="muudetavtekst"/>
        <w:rPr>
          <w:rFonts w:asciiTheme="minorHAnsi" w:hAnsiTheme="minorHAnsi" w:cstheme="minorBidi"/>
        </w:rPr>
      </w:pPr>
      <w:r w:rsidRPr="57490200">
        <w:rPr>
          <w:rFonts w:asciiTheme="minorHAnsi" w:hAnsiTheme="minorHAnsi" w:cstheme="minorBidi"/>
        </w:rPr>
        <w:t>Eesti avalik</w:t>
      </w:r>
      <w:r>
        <w:rPr>
          <w:rFonts w:asciiTheme="minorHAnsi" w:hAnsiTheme="minorHAnsi" w:cstheme="minorBidi"/>
        </w:rPr>
        <w:t>u</w:t>
      </w:r>
      <w:r w:rsidRPr="57490200">
        <w:rPr>
          <w:rFonts w:asciiTheme="minorHAnsi" w:hAnsiTheme="minorHAnsi" w:cstheme="minorBidi"/>
        </w:rPr>
        <w:t xml:space="preserve"> sektori asutuste baastaseme määramiseks kasutati riigi raamatupidamise andmeid (riigiraha.fin.ee). Täpsemalt kasutati järgmiseid andmeid:</w:t>
      </w:r>
    </w:p>
    <w:p w14:paraId="17E6D913" w14:textId="77777777" w:rsidR="00B731C3" w:rsidRPr="00983DA7" w:rsidRDefault="00B731C3" w:rsidP="00B731C3">
      <w:pPr>
        <w:pStyle w:val="muudetavtekst"/>
        <w:numPr>
          <w:ilvl w:val="0"/>
          <w:numId w:val="38"/>
        </w:numPr>
        <w:rPr>
          <w:rFonts w:asciiTheme="minorHAnsi" w:hAnsiTheme="minorHAnsi" w:cstheme="minorBidi"/>
        </w:rPr>
      </w:pPr>
      <w:r w:rsidRPr="57490200">
        <w:rPr>
          <w:rFonts w:asciiTheme="minorHAnsi" w:hAnsiTheme="minorHAnsi" w:cstheme="minorBidi"/>
        </w:rPr>
        <w:t>kinnistute, hoonete ja ruumide majandamiskulud (küte ja soojusenergia, elekter);</w:t>
      </w:r>
    </w:p>
    <w:p w14:paraId="0E227191" w14:textId="77777777" w:rsidR="00B731C3" w:rsidRPr="00983DA7" w:rsidRDefault="00B731C3" w:rsidP="00B731C3">
      <w:pPr>
        <w:pStyle w:val="muudetavtekst"/>
        <w:numPr>
          <w:ilvl w:val="0"/>
          <w:numId w:val="38"/>
        </w:numPr>
        <w:rPr>
          <w:rFonts w:asciiTheme="minorHAnsi" w:hAnsiTheme="minorHAnsi" w:cstheme="minorBidi"/>
        </w:rPr>
      </w:pPr>
      <w:r w:rsidRPr="57490200">
        <w:rPr>
          <w:rFonts w:asciiTheme="minorHAnsi" w:hAnsiTheme="minorHAnsi" w:cstheme="minorBidi"/>
        </w:rPr>
        <w:t>kinnisvarainvesteeringute haldamiskulud (küte ja soojusenergia, elekter);</w:t>
      </w:r>
    </w:p>
    <w:p w14:paraId="5A6B7BF9" w14:textId="77777777" w:rsidR="00B731C3" w:rsidRPr="00983DA7" w:rsidRDefault="00B731C3" w:rsidP="00B731C3">
      <w:pPr>
        <w:pStyle w:val="muudetavtekst"/>
        <w:numPr>
          <w:ilvl w:val="0"/>
          <w:numId w:val="38"/>
        </w:numPr>
        <w:rPr>
          <w:rFonts w:asciiTheme="minorHAnsi" w:hAnsiTheme="minorHAnsi" w:cstheme="minorBidi"/>
        </w:rPr>
      </w:pPr>
      <w:r w:rsidRPr="57490200">
        <w:rPr>
          <w:rFonts w:asciiTheme="minorHAnsi" w:hAnsiTheme="minorHAnsi" w:cstheme="minorBidi"/>
        </w:rPr>
        <w:t>üürile ja rendile antud kinnistute, hoonete, ruumide majandamiskulud (v</w:t>
      </w:r>
      <w:r>
        <w:rPr>
          <w:rFonts w:asciiTheme="minorHAnsi" w:hAnsiTheme="minorHAnsi" w:cstheme="minorBidi"/>
        </w:rPr>
        <w:t>.</w:t>
      </w:r>
      <w:r w:rsidRPr="57490200">
        <w:rPr>
          <w:rFonts w:asciiTheme="minorHAnsi" w:hAnsiTheme="minorHAnsi" w:cstheme="minorBidi"/>
        </w:rPr>
        <w:t>a kinnisvarainvesteeringud)</w:t>
      </w:r>
      <w:r>
        <w:rPr>
          <w:rFonts w:asciiTheme="minorHAnsi" w:hAnsiTheme="minorHAnsi" w:cstheme="minorBidi"/>
        </w:rPr>
        <w:t>:</w:t>
      </w:r>
      <w:r w:rsidRPr="57490200">
        <w:rPr>
          <w:rFonts w:asciiTheme="minorHAnsi" w:hAnsiTheme="minorHAnsi" w:cstheme="minorBidi"/>
        </w:rPr>
        <w:t xml:space="preserve"> küte, soojusenergia ja elekter;</w:t>
      </w:r>
    </w:p>
    <w:p w14:paraId="687FF76A" w14:textId="77777777" w:rsidR="00B731C3" w:rsidRPr="00983DA7" w:rsidRDefault="00B731C3" w:rsidP="00B731C3">
      <w:pPr>
        <w:pStyle w:val="muudetavtekst"/>
        <w:numPr>
          <w:ilvl w:val="0"/>
          <w:numId w:val="38"/>
        </w:numPr>
        <w:rPr>
          <w:rFonts w:asciiTheme="minorHAnsi" w:hAnsiTheme="minorHAnsi" w:cstheme="minorBidi"/>
        </w:rPr>
      </w:pPr>
      <w:r w:rsidRPr="57490200">
        <w:rPr>
          <w:rFonts w:asciiTheme="minorHAnsi" w:hAnsiTheme="minorHAnsi" w:cstheme="minorBidi"/>
        </w:rPr>
        <w:t>rajatiste majandamiskulud (küte ja soojusenergia, elekter);</w:t>
      </w:r>
    </w:p>
    <w:p w14:paraId="1043964C" w14:textId="77777777" w:rsidR="00B731C3" w:rsidRPr="00983DA7" w:rsidRDefault="00B731C3" w:rsidP="00B731C3">
      <w:pPr>
        <w:pStyle w:val="muudetavtekst"/>
        <w:numPr>
          <w:ilvl w:val="0"/>
          <w:numId w:val="38"/>
        </w:numPr>
        <w:rPr>
          <w:rFonts w:asciiTheme="minorHAnsi" w:hAnsiTheme="minorHAnsi" w:cstheme="minorBidi"/>
        </w:rPr>
      </w:pPr>
      <w:r w:rsidRPr="57490200">
        <w:rPr>
          <w:rFonts w:asciiTheme="minorHAnsi" w:hAnsiTheme="minorHAnsi" w:cstheme="minorBidi"/>
        </w:rPr>
        <w:t>sõidukite majandamiskulud (maismaasõidukid, õhusõidukid, veesõidukid);</w:t>
      </w:r>
    </w:p>
    <w:p w14:paraId="0BE98D99" w14:textId="77777777" w:rsidR="00B731C3" w:rsidRDefault="00B731C3" w:rsidP="00B731C3">
      <w:pPr>
        <w:pStyle w:val="muudetavtekst"/>
        <w:numPr>
          <w:ilvl w:val="0"/>
          <w:numId w:val="38"/>
        </w:numPr>
        <w:rPr>
          <w:rFonts w:asciiTheme="minorHAnsi" w:hAnsiTheme="minorHAnsi" w:cstheme="minorBidi"/>
        </w:rPr>
      </w:pPr>
      <w:r w:rsidRPr="57490200">
        <w:rPr>
          <w:rFonts w:asciiTheme="minorHAnsi" w:hAnsiTheme="minorHAnsi" w:cstheme="minorBidi"/>
        </w:rPr>
        <w:t>tootmiskulud (eelkõige kommunaalettevõtted – soojus, vesi, haldus).</w:t>
      </w:r>
    </w:p>
    <w:p w14:paraId="19E9CB99" w14:textId="77777777" w:rsidR="00B731C3" w:rsidRDefault="00B731C3" w:rsidP="00B731C3">
      <w:pPr>
        <w:pStyle w:val="muudetavtekst"/>
        <w:rPr>
          <w:rFonts w:asciiTheme="minorHAnsi" w:hAnsiTheme="minorHAnsi" w:cstheme="minorHAnsi"/>
        </w:rPr>
      </w:pPr>
    </w:p>
    <w:p w14:paraId="39347C15" w14:textId="77777777" w:rsidR="00B731C3" w:rsidRDefault="00B731C3" w:rsidP="00B731C3">
      <w:pPr>
        <w:pStyle w:val="muudetavtekst"/>
        <w:rPr>
          <w:rFonts w:asciiTheme="minorHAnsi" w:hAnsiTheme="minorHAnsi" w:cstheme="minorBidi"/>
        </w:rPr>
      </w:pPr>
      <w:r w:rsidRPr="57490200">
        <w:rPr>
          <w:rFonts w:asciiTheme="minorHAnsi" w:hAnsiTheme="minorHAnsi" w:cstheme="minorBidi"/>
        </w:rPr>
        <w:lastRenderedPageBreak/>
        <w:t xml:space="preserve">Rahalise kulu </w:t>
      </w:r>
      <w:r>
        <w:rPr>
          <w:rFonts w:asciiTheme="minorHAnsi" w:hAnsiTheme="minorHAnsi" w:cstheme="minorBidi"/>
        </w:rPr>
        <w:t xml:space="preserve">kohta </w:t>
      </w:r>
      <w:r w:rsidRPr="57490200">
        <w:rPr>
          <w:rFonts w:asciiTheme="minorHAnsi" w:hAnsiTheme="minorHAnsi" w:cstheme="minorBidi"/>
        </w:rPr>
        <w:t>andmete saamiseks jagati kulu 2021. aasta elektri, soojuse</w:t>
      </w:r>
      <w:r>
        <w:rPr>
          <w:rFonts w:asciiTheme="minorHAnsi" w:hAnsiTheme="minorHAnsi" w:cstheme="minorBidi"/>
        </w:rPr>
        <w:t xml:space="preserve"> keskmise hinnaga. Transpordikütuste puhul kasutati ka vedelkütuse alumist kütteväärtust, et saada mahuühikust energiaühik.</w:t>
      </w:r>
      <w:r w:rsidRPr="57490200">
        <w:rPr>
          <w:rFonts w:asciiTheme="minorHAnsi" w:hAnsiTheme="minorHAnsi" w:cstheme="minorBidi"/>
        </w:rPr>
        <w:t xml:space="preserve"> Keskmiste hindade aluseks võeti Statistikaameti andmed</w:t>
      </w:r>
      <w:r w:rsidRPr="57490200">
        <w:rPr>
          <w:rStyle w:val="Allmrkuseviide"/>
          <w:rFonts w:asciiTheme="minorHAnsi" w:hAnsiTheme="minorHAnsi" w:cstheme="minorBidi"/>
        </w:rPr>
        <w:footnoteReference w:id="27"/>
      </w:r>
      <w:r w:rsidRPr="57490200">
        <w:rPr>
          <w:rFonts w:asciiTheme="minorHAnsi" w:hAnsiTheme="minorHAnsi" w:cstheme="minorBidi"/>
        </w:rPr>
        <w:t>.</w:t>
      </w:r>
    </w:p>
    <w:p w14:paraId="2D8900C1" w14:textId="77777777" w:rsidR="00B731C3" w:rsidRDefault="00B731C3" w:rsidP="00B731C3">
      <w:pPr>
        <w:pStyle w:val="muudetavtekst"/>
        <w:rPr>
          <w:rFonts w:asciiTheme="minorHAnsi" w:hAnsiTheme="minorHAnsi" w:cstheme="minorHAnsi"/>
        </w:rPr>
      </w:pPr>
    </w:p>
    <w:p w14:paraId="7BEEBEC1" w14:textId="77777777" w:rsidR="00B731C3" w:rsidRDefault="00B731C3" w:rsidP="00B731C3">
      <w:pPr>
        <w:pStyle w:val="muudetavtekst"/>
        <w:rPr>
          <w:rFonts w:asciiTheme="minorHAnsi" w:hAnsiTheme="minorHAnsi" w:cstheme="minorHAnsi"/>
        </w:rPr>
      </w:pPr>
      <w:r>
        <w:rPr>
          <w:rFonts w:asciiTheme="minorHAnsi" w:hAnsiTheme="minorHAnsi" w:cstheme="minorHAnsi"/>
        </w:rPr>
        <w:t>Tabel 7. 2021. aasta energiakandjate keskmised hinnad (Statistikaameti tabel KE08 „Ettevõtetes tarbitud kütuse ja energia keskmine maksumus“)</w:t>
      </w:r>
    </w:p>
    <w:p w14:paraId="1118FFBB" w14:textId="77777777" w:rsidR="00B731C3" w:rsidRDefault="00B731C3" w:rsidP="00B731C3">
      <w:pPr>
        <w:pStyle w:val="muudetavtekst"/>
        <w:rPr>
          <w:rFonts w:asciiTheme="minorHAnsi" w:hAnsiTheme="minorHAnsi" w:cstheme="minorHAnsi"/>
        </w:rPr>
      </w:pPr>
      <w:r w:rsidRPr="007A6FA8">
        <w:rPr>
          <w:rFonts w:asciiTheme="minorHAnsi" w:hAnsiTheme="minorHAnsi" w:cstheme="minorHAnsi"/>
          <w:noProof/>
        </w:rPr>
        <w:drawing>
          <wp:inline distT="0" distB="0" distL="0" distR="0" wp14:anchorId="7068E38A" wp14:editId="02EE0E30">
            <wp:extent cx="5058481" cy="1629002"/>
            <wp:effectExtent l="0" t="0" r="8890" b="9525"/>
            <wp:docPr id="8229097" name="Pilt 1" descr="Pilt, millel on kujutatud tekst, kuvatõmmis, Font, number&#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9097" name="Pilt 1" descr="Pilt, millel on kujutatud tekst, kuvatõmmis, Font, number&#10;&#10;Kirjeldus on genereeritud automaatselt"/>
                    <pic:cNvPicPr/>
                  </pic:nvPicPr>
                  <pic:blipFill>
                    <a:blip r:embed="rId15"/>
                    <a:stretch>
                      <a:fillRect/>
                    </a:stretch>
                  </pic:blipFill>
                  <pic:spPr>
                    <a:xfrm>
                      <a:off x="0" y="0"/>
                      <a:ext cx="5058481" cy="1629002"/>
                    </a:xfrm>
                    <a:prstGeom prst="rect">
                      <a:avLst/>
                    </a:prstGeom>
                  </pic:spPr>
                </pic:pic>
              </a:graphicData>
            </a:graphic>
          </wp:inline>
        </w:drawing>
      </w:r>
    </w:p>
    <w:p w14:paraId="0717681A" w14:textId="77777777" w:rsidR="00B731C3" w:rsidRDefault="00B731C3" w:rsidP="00B731C3">
      <w:pPr>
        <w:pStyle w:val="muudetavtekst"/>
        <w:rPr>
          <w:rFonts w:asciiTheme="minorHAnsi" w:hAnsiTheme="minorHAnsi" w:cstheme="minorHAnsi"/>
        </w:rPr>
      </w:pPr>
    </w:p>
    <w:p w14:paraId="280165A5" w14:textId="77777777" w:rsidR="00B731C3" w:rsidRDefault="00B731C3" w:rsidP="00B731C3">
      <w:pPr>
        <w:pStyle w:val="muudetavtekst"/>
        <w:rPr>
          <w:rFonts w:asciiTheme="minorHAnsi" w:hAnsiTheme="minorHAnsi" w:cstheme="minorBidi"/>
        </w:rPr>
      </w:pPr>
      <w:r w:rsidRPr="57490200">
        <w:rPr>
          <w:rFonts w:asciiTheme="minorHAnsi" w:hAnsiTheme="minorHAnsi" w:cstheme="minorBidi"/>
        </w:rPr>
        <w:t xml:space="preserve">Arvutuste tulemusena selgus, et 2021. a peamine kulu </w:t>
      </w:r>
      <w:r>
        <w:rPr>
          <w:rFonts w:asciiTheme="minorHAnsi" w:hAnsiTheme="minorHAnsi" w:cstheme="minorBidi"/>
        </w:rPr>
        <w:t>tuli</w:t>
      </w:r>
      <w:r w:rsidRPr="57490200">
        <w:rPr>
          <w:rFonts w:asciiTheme="minorHAnsi" w:hAnsiTheme="minorHAnsi" w:cstheme="minorBidi"/>
        </w:rPr>
        <w:t xml:space="preserve"> avaliku sektori hoone</w:t>
      </w:r>
      <w:r>
        <w:rPr>
          <w:rFonts w:asciiTheme="minorHAnsi" w:hAnsiTheme="minorHAnsi" w:cstheme="minorBidi"/>
        </w:rPr>
        <w:t>test. A</w:t>
      </w:r>
      <w:r w:rsidRPr="57490200">
        <w:rPr>
          <w:rFonts w:asciiTheme="minorHAnsi" w:hAnsiTheme="minorHAnsi" w:cstheme="minorBidi"/>
        </w:rPr>
        <w:t xml:space="preserve">rvutustest </w:t>
      </w:r>
      <w:r>
        <w:rPr>
          <w:rFonts w:asciiTheme="minorHAnsi" w:hAnsiTheme="minorHAnsi" w:cstheme="minorBidi"/>
        </w:rPr>
        <w:t xml:space="preserve">jäeti </w:t>
      </w:r>
      <w:r w:rsidRPr="57490200">
        <w:rPr>
          <w:rFonts w:asciiTheme="minorHAnsi" w:hAnsiTheme="minorHAnsi" w:cstheme="minorBidi"/>
        </w:rPr>
        <w:t>välja ühistranspor</w:t>
      </w:r>
      <w:r>
        <w:rPr>
          <w:rFonts w:asciiTheme="minorHAnsi" w:hAnsiTheme="minorHAnsi" w:cstheme="minorBidi"/>
        </w:rPr>
        <w:t>t</w:t>
      </w:r>
      <w:r w:rsidRPr="57490200">
        <w:rPr>
          <w:rFonts w:asciiTheme="minorHAnsi" w:hAnsiTheme="minorHAnsi" w:cstheme="minorBidi"/>
        </w:rPr>
        <w:t xml:space="preserve"> ja relvajõud</w:t>
      </w:r>
      <w:r>
        <w:rPr>
          <w:rFonts w:asciiTheme="minorHAnsi" w:hAnsiTheme="minorHAnsi" w:cstheme="minorBidi"/>
        </w:rPr>
        <w:t>,</w:t>
      </w:r>
      <w:r w:rsidRPr="57490200">
        <w:rPr>
          <w:rFonts w:asciiTheme="minorHAnsi" w:hAnsiTheme="minorHAnsi" w:cstheme="minorBidi"/>
        </w:rPr>
        <w:t xml:space="preserve"> nagu metoodika ja suunised ette näevad.</w:t>
      </w:r>
    </w:p>
    <w:p w14:paraId="58A52742" w14:textId="77777777" w:rsidR="00B731C3" w:rsidRDefault="00B731C3" w:rsidP="00B731C3">
      <w:pPr>
        <w:pStyle w:val="muudetavtekst"/>
        <w:rPr>
          <w:rFonts w:asciiTheme="minorHAnsi" w:hAnsiTheme="minorHAnsi" w:cstheme="minorBidi"/>
        </w:rPr>
      </w:pPr>
      <w:r w:rsidRPr="57490200">
        <w:rPr>
          <w:rFonts w:asciiTheme="minorHAnsi" w:hAnsiTheme="minorHAnsi" w:cstheme="minorBidi"/>
        </w:rPr>
        <w:t xml:space="preserve">Keskvalitsuse alla on loetud ka haiglad ning ülikoolid. Tabelis </w:t>
      </w:r>
      <w:r>
        <w:rPr>
          <w:rFonts w:asciiTheme="minorHAnsi" w:hAnsiTheme="minorHAnsi" w:cstheme="minorBidi"/>
        </w:rPr>
        <w:t>8</w:t>
      </w:r>
      <w:r w:rsidRPr="57490200">
        <w:rPr>
          <w:rFonts w:asciiTheme="minorHAnsi" w:hAnsiTheme="minorHAnsi" w:cstheme="minorBidi"/>
        </w:rPr>
        <w:t xml:space="preserve"> on kajastatud avaliku sektori asutuste energiatarbimise baastase aastal 2021.</w:t>
      </w:r>
    </w:p>
    <w:p w14:paraId="52DFF148" w14:textId="77777777" w:rsidR="00B731C3" w:rsidRDefault="00B731C3" w:rsidP="00B731C3">
      <w:pPr>
        <w:pStyle w:val="muudetavtekst"/>
        <w:rPr>
          <w:rFonts w:asciiTheme="minorHAnsi" w:hAnsiTheme="minorHAnsi" w:cstheme="minorBidi"/>
        </w:rPr>
      </w:pPr>
    </w:p>
    <w:p w14:paraId="74383CFB" w14:textId="77777777" w:rsidR="00B731C3" w:rsidRDefault="00B731C3" w:rsidP="00B731C3">
      <w:pPr>
        <w:pStyle w:val="muudetavtekst"/>
        <w:rPr>
          <w:rFonts w:asciiTheme="minorHAnsi" w:hAnsiTheme="minorHAnsi" w:cstheme="minorBidi"/>
        </w:rPr>
      </w:pPr>
      <w:r w:rsidRPr="57490200">
        <w:rPr>
          <w:rFonts w:asciiTheme="minorHAnsi" w:hAnsiTheme="minorHAnsi" w:cstheme="minorBidi"/>
        </w:rPr>
        <w:t xml:space="preserve">Tabel </w:t>
      </w:r>
      <w:r>
        <w:rPr>
          <w:rFonts w:asciiTheme="minorHAnsi" w:hAnsiTheme="minorHAnsi" w:cstheme="minorBidi"/>
        </w:rPr>
        <w:t>8</w:t>
      </w:r>
      <w:r w:rsidRPr="57490200">
        <w:rPr>
          <w:rFonts w:asciiTheme="minorHAnsi" w:hAnsiTheme="minorHAnsi" w:cstheme="minorBidi"/>
        </w:rPr>
        <w:t>. Avaliku sektori asutuste energiatarve 2021. aastal</w:t>
      </w:r>
    </w:p>
    <w:tbl>
      <w:tblPr>
        <w:tblStyle w:val="Kontuurtabel"/>
        <w:tblW w:w="0" w:type="auto"/>
        <w:tblLook w:val="04A0" w:firstRow="1" w:lastRow="0" w:firstColumn="1" w:lastColumn="0" w:noHBand="0" w:noVBand="1"/>
      </w:tblPr>
      <w:tblGrid>
        <w:gridCol w:w="3256"/>
        <w:gridCol w:w="2785"/>
        <w:gridCol w:w="3021"/>
      </w:tblGrid>
      <w:tr w:rsidR="00B731C3" w14:paraId="265E56B4" w14:textId="77777777" w:rsidTr="00A13E67">
        <w:tc>
          <w:tcPr>
            <w:tcW w:w="3256" w:type="dxa"/>
          </w:tcPr>
          <w:p w14:paraId="2C88639E" w14:textId="77777777" w:rsidR="00B731C3" w:rsidRDefault="00B731C3" w:rsidP="00A13E67">
            <w:pPr>
              <w:pStyle w:val="muudetavtekst"/>
              <w:rPr>
                <w:rFonts w:asciiTheme="minorHAnsi" w:hAnsiTheme="minorHAnsi" w:cstheme="minorHAnsi"/>
              </w:rPr>
            </w:pPr>
            <w:bookmarkStart w:id="4" w:name="_Hlk194411746"/>
          </w:p>
        </w:tc>
        <w:tc>
          <w:tcPr>
            <w:tcW w:w="2785" w:type="dxa"/>
          </w:tcPr>
          <w:p w14:paraId="076276C0" w14:textId="77777777" w:rsidR="00B731C3" w:rsidRDefault="00B731C3" w:rsidP="00A13E67">
            <w:pPr>
              <w:pStyle w:val="muudetavtekst"/>
              <w:jc w:val="center"/>
              <w:rPr>
                <w:rFonts w:asciiTheme="minorHAnsi" w:hAnsiTheme="minorHAnsi" w:cstheme="minorHAnsi"/>
              </w:rPr>
            </w:pPr>
            <w:r>
              <w:rPr>
                <w:rFonts w:asciiTheme="minorHAnsi" w:hAnsiTheme="minorHAnsi" w:cstheme="minorHAnsi"/>
              </w:rPr>
              <w:t>Hinnanguline kogutarbimine (GWh)</w:t>
            </w:r>
          </w:p>
        </w:tc>
        <w:tc>
          <w:tcPr>
            <w:tcW w:w="3021" w:type="dxa"/>
          </w:tcPr>
          <w:p w14:paraId="677248C3" w14:textId="77777777" w:rsidR="00B731C3" w:rsidRDefault="00B731C3" w:rsidP="00A13E67">
            <w:pPr>
              <w:pStyle w:val="muudetavtekst"/>
              <w:jc w:val="center"/>
              <w:rPr>
                <w:rFonts w:asciiTheme="minorHAnsi" w:hAnsiTheme="minorHAnsi" w:cstheme="minorBidi"/>
              </w:rPr>
            </w:pPr>
            <w:r w:rsidRPr="57490200">
              <w:rPr>
                <w:rFonts w:asciiTheme="minorHAnsi" w:hAnsiTheme="minorHAnsi" w:cstheme="minorBidi"/>
              </w:rPr>
              <w:t>Energia tarbimise osakaal kogu tarbimisest (%)</w:t>
            </w:r>
          </w:p>
        </w:tc>
      </w:tr>
      <w:tr w:rsidR="00B731C3" w14:paraId="0898DCC3" w14:textId="77777777" w:rsidTr="00A13E67">
        <w:tc>
          <w:tcPr>
            <w:tcW w:w="3256" w:type="dxa"/>
          </w:tcPr>
          <w:p w14:paraId="0C310685" w14:textId="77777777" w:rsidR="00B731C3" w:rsidRPr="003D56CB" w:rsidRDefault="00B731C3" w:rsidP="00A13E67">
            <w:pPr>
              <w:pStyle w:val="muudetavtekst"/>
              <w:rPr>
                <w:rFonts w:asciiTheme="minorHAnsi" w:hAnsiTheme="minorHAnsi" w:cstheme="minorBidi"/>
                <w:b/>
                <w:bCs/>
              </w:rPr>
            </w:pPr>
            <w:r w:rsidRPr="003D56CB">
              <w:rPr>
                <w:rFonts w:asciiTheme="minorHAnsi" w:hAnsiTheme="minorHAnsi" w:cstheme="minorBidi"/>
                <w:b/>
                <w:bCs/>
              </w:rPr>
              <w:t>Keskvalitsus kokku:</w:t>
            </w:r>
          </w:p>
        </w:tc>
        <w:tc>
          <w:tcPr>
            <w:tcW w:w="2785" w:type="dxa"/>
          </w:tcPr>
          <w:p w14:paraId="4FD3C899" w14:textId="77777777" w:rsidR="00B731C3" w:rsidRDefault="00B731C3" w:rsidP="00A13E67">
            <w:pPr>
              <w:pStyle w:val="muudetavtekst"/>
              <w:jc w:val="center"/>
              <w:rPr>
                <w:rFonts w:asciiTheme="minorHAnsi" w:hAnsiTheme="minorHAnsi" w:cstheme="minorHAnsi"/>
              </w:rPr>
            </w:pPr>
            <w:r>
              <w:rPr>
                <w:rFonts w:asciiTheme="minorHAnsi" w:hAnsiTheme="minorHAnsi" w:cstheme="minorHAnsi"/>
              </w:rPr>
              <w:t>1003</w:t>
            </w:r>
          </w:p>
        </w:tc>
        <w:tc>
          <w:tcPr>
            <w:tcW w:w="3021" w:type="dxa"/>
          </w:tcPr>
          <w:p w14:paraId="0AC37CD6" w14:textId="77777777" w:rsidR="00B731C3" w:rsidRDefault="00B731C3" w:rsidP="00A13E67">
            <w:pPr>
              <w:pStyle w:val="muudetavtekst"/>
              <w:jc w:val="center"/>
              <w:rPr>
                <w:rFonts w:asciiTheme="minorHAnsi" w:hAnsiTheme="minorHAnsi" w:cstheme="minorHAnsi"/>
              </w:rPr>
            </w:pPr>
          </w:p>
        </w:tc>
      </w:tr>
      <w:tr w:rsidR="00B731C3" w14:paraId="21091431" w14:textId="77777777" w:rsidTr="00A13E67">
        <w:tc>
          <w:tcPr>
            <w:tcW w:w="3256" w:type="dxa"/>
          </w:tcPr>
          <w:p w14:paraId="6B59CF19" w14:textId="77777777" w:rsidR="00B731C3" w:rsidRDefault="00B731C3" w:rsidP="00A13E67">
            <w:pPr>
              <w:pStyle w:val="muudetavtekst"/>
              <w:rPr>
                <w:rFonts w:asciiTheme="minorHAnsi" w:hAnsiTheme="minorHAnsi" w:cstheme="minorHAnsi"/>
              </w:rPr>
            </w:pPr>
            <w:r>
              <w:rPr>
                <w:rFonts w:asciiTheme="minorHAnsi" w:hAnsiTheme="minorHAnsi" w:cstheme="minorHAnsi"/>
              </w:rPr>
              <w:t>Keskvalitsuse hooned</w:t>
            </w:r>
          </w:p>
        </w:tc>
        <w:tc>
          <w:tcPr>
            <w:tcW w:w="2785" w:type="dxa"/>
          </w:tcPr>
          <w:p w14:paraId="6F6ADD01" w14:textId="77777777" w:rsidR="00B731C3" w:rsidRDefault="00B731C3" w:rsidP="00A13E67">
            <w:pPr>
              <w:pStyle w:val="muudetavtekst"/>
              <w:jc w:val="center"/>
              <w:rPr>
                <w:rFonts w:asciiTheme="minorHAnsi" w:hAnsiTheme="minorHAnsi" w:cstheme="minorHAnsi"/>
              </w:rPr>
            </w:pPr>
            <w:r>
              <w:rPr>
                <w:rFonts w:asciiTheme="minorHAnsi" w:hAnsiTheme="minorHAnsi" w:cstheme="minorHAnsi"/>
              </w:rPr>
              <w:t>937</w:t>
            </w:r>
          </w:p>
        </w:tc>
        <w:tc>
          <w:tcPr>
            <w:tcW w:w="3021" w:type="dxa"/>
          </w:tcPr>
          <w:p w14:paraId="71AD50FE" w14:textId="77777777" w:rsidR="00B731C3" w:rsidRDefault="00B731C3" w:rsidP="00A13E67">
            <w:pPr>
              <w:pStyle w:val="muudetavtekst"/>
              <w:jc w:val="center"/>
              <w:rPr>
                <w:rFonts w:asciiTheme="minorHAnsi" w:hAnsiTheme="minorHAnsi" w:cstheme="minorHAnsi"/>
              </w:rPr>
            </w:pPr>
            <w:r>
              <w:rPr>
                <w:rFonts w:asciiTheme="minorHAnsi" w:hAnsiTheme="minorHAnsi" w:cstheme="minorHAnsi"/>
              </w:rPr>
              <w:t>93</w:t>
            </w:r>
          </w:p>
        </w:tc>
      </w:tr>
      <w:tr w:rsidR="00B731C3" w14:paraId="4560FFCE" w14:textId="77777777" w:rsidTr="00A13E67">
        <w:tc>
          <w:tcPr>
            <w:tcW w:w="3256" w:type="dxa"/>
          </w:tcPr>
          <w:p w14:paraId="74584F46" w14:textId="77777777" w:rsidR="00B731C3" w:rsidRDefault="00B731C3" w:rsidP="00A13E67">
            <w:pPr>
              <w:pStyle w:val="muudetavtekst"/>
              <w:rPr>
                <w:rFonts w:asciiTheme="minorHAnsi" w:hAnsiTheme="minorHAnsi" w:cstheme="minorHAnsi"/>
              </w:rPr>
            </w:pPr>
            <w:r>
              <w:rPr>
                <w:rFonts w:asciiTheme="minorHAnsi" w:hAnsiTheme="minorHAnsi" w:cstheme="minorHAnsi"/>
              </w:rPr>
              <w:t>Keskvalitsuse rajatised</w:t>
            </w:r>
          </w:p>
        </w:tc>
        <w:tc>
          <w:tcPr>
            <w:tcW w:w="2785" w:type="dxa"/>
          </w:tcPr>
          <w:p w14:paraId="7AE62876" w14:textId="77777777" w:rsidR="00B731C3" w:rsidRDefault="00B731C3" w:rsidP="00A13E67">
            <w:pPr>
              <w:pStyle w:val="muudetavtekst"/>
              <w:jc w:val="center"/>
              <w:rPr>
                <w:rFonts w:asciiTheme="minorHAnsi" w:hAnsiTheme="minorHAnsi" w:cstheme="minorHAnsi"/>
              </w:rPr>
            </w:pPr>
            <w:r>
              <w:rPr>
                <w:rFonts w:asciiTheme="minorHAnsi" w:hAnsiTheme="minorHAnsi" w:cstheme="minorHAnsi"/>
              </w:rPr>
              <w:t>14</w:t>
            </w:r>
          </w:p>
        </w:tc>
        <w:tc>
          <w:tcPr>
            <w:tcW w:w="3021" w:type="dxa"/>
          </w:tcPr>
          <w:p w14:paraId="6AAB36C4" w14:textId="77777777" w:rsidR="00B731C3" w:rsidRDefault="00B731C3" w:rsidP="00A13E67">
            <w:pPr>
              <w:pStyle w:val="muudetavtekst"/>
              <w:jc w:val="center"/>
              <w:rPr>
                <w:rFonts w:asciiTheme="minorHAnsi" w:hAnsiTheme="minorHAnsi" w:cstheme="minorHAnsi"/>
              </w:rPr>
            </w:pPr>
            <w:r>
              <w:rPr>
                <w:rFonts w:asciiTheme="minorHAnsi" w:hAnsiTheme="minorHAnsi" w:cstheme="minorHAnsi"/>
              </w:rPr>
              <w:t>1</w:t>
            </w:r>
          </w:p>
        </w:tc>
      </w:tr>
      <w:tr w:rsidR="00B731C3" w14:paraId="3F92F46A" w14:textId="77777777" w:rsidTr="00A13E67">
        <w:tc>
          <w:tcPr>
            <w:tcW w:w="3256" w:type="dxa"/>
          </w:tcPr>
          <w:p w14:paraId="35424C51" w14:textId="77777777" w:rsidR="00B731C3" w:rsidRDefault="00B731C3" w:rsidP="00A13E67">
            <w:pPr>
              <w:pStyle w:val="muudetavtekst"/>
              <w:rPr>
                <w:rFonts w:asciiTheme="minorHAnsi" w:hAnsiTheme="minorHAnsi" w:cstheme="minorHAnsi"/>
              </w:rPr>
            </w:pPr>
            <w:r>
              <w:rPr>
                <w:rFonts w:asciiTheme="minorHAnsi" w:hAnsiTheme="minorHAnsi" w:cstheme="minorHAnsi"/>
              </w:rPr>
              <w:t xml:space="preserve">Keskvalitsuse muu transport </w:t>
            </w:r>
          </w:p>
        </w:tc>
        <w:tc>
          <w:tcPr>
            <w:tcW w:w="2785" w:type="dxa"/>
          </w:tcPr>
          <w:p w14:paraId="4B768808" w14:textId="77777777" w:rsidR="00B731C3" w:rsidRDefault="00B731C3" w:rsidP="00A13E67">
            <w:pPr>
              <w:pStyle w:val="muudetavtekst"/>
              <w:jc w:val="center"/>
              <w:rPr>
                <w:rFonts w:asciiTheme="minorHAnsi" w:hAnsiTheme="minorHAnsi" w:cstheme="minorHAnsi"/>
              </w:rPr>
            </w:pPr>
            <w:r>
              <w:rPr>
                <w:rFonts w:asciiTheme="minorHAnsi" w:hAnsiTheme="minorHAnsi" w:cstheme="minorHAnsi"/>
              </w:rPr>
              <w:t>52</w:t>
            </w:r>
          </w:p>
        </w:tc>
        <w:tc>
          <w:tcPr>
            <w:tcW w:w="3021" w:type="dxa"/>
          </w:tcPr>
          <w:p w14:paraId="1D4D751F" w14:textId="77777777" w:rsidR="00B731C3" w:rsidRDefault="00B731C3" w:rsidP="00A13E67">
            <w:pPr>
              <w:pStyle w:val="muudetavtekst"/>
              <w:jc w:val="center"/>
              <w:rPr>
                <w:rFonts w:asciiTheme="minorHAnsi" w:hAnsiTheme="minorHAnsi" w:cstheme="minorHAnsi"/>
              </w:rPr>
            </w:pPr>
            <w:r>
              <w:rPr>
                <w:rFonts w:asciiTheme="minorHAnsi" w:hAnsiTheme="minorHAnsi" w:cstheme="minorHAnsi"/>
              </w:rPr>
              <w:t>5</w:t>
            </w:r>
          </w:p>
        </w:tc>
      </w:tr>
      <w:tr w:rsidR="00B731C3" w14:paraId="229E9C5D" w14:textId="77777777" w:rsidTr="00A13E67">
        <w:tc>
          <w:tcPr>
            <w:tcW w:w="3256" w:type="dxa"/>
          </w:tcPr>
          <w:p w14:paraId="03B74B4C" w14:textId="77777777" w:rsidR="00B731C3" w:rsidRDefault="00B731C3" w:rsidP="00A13E67">
            <w:pPr>
              <w:pStyle w:val="muudetavtekst"/>
              <w:rPr>
                <w:rFonts w:asciiTheme="minorHAnsi" w:hAnsiTheme="minorHAnsi" w:cstheme="minorHAnsi"/>
              </w:rPr>
            </w:pPr>
            <w:r>
              <w:rPr>
                <w:rFonts w:asciiTheme="minorHAnsi" w:hAnsiTheme="minorHAnsi" w:cstheme="minorHAnsi"/>
              </w:rPr>
              <w:t xml:space="preserve">Ühistransport </w:t>
            </w:r>
          </w:p>
        </w:tc>
        <w:tc>
          <w:tcPr>
            <w:tcW w:w="2785" w:type="dxa"/>
          </w:tcPr>
          <w:p w14:paraId="29D04C59" w14:textId="77777777" w:rsidR="00B731C3" w:rsidRDefault="00B731C3" w:rsidP="00A13E67">
            <w:pPr>
              <w:pStyle w:val="muudetavtekst"/>
              <w:jc w:val="center"/>
              <w:rPr>
                <w:rFonts w:asciiTheme="minorHAnsi" w:hAnsiTheme="minorHAnsi" w:cstheme="minorHAnsi"/>
              </w:rPr>
            </w:pPr>
            <w:r>
              <w:rPr>
                <w:rFonts w:asciiTheme="minorHAnsi" w:hAnsiTheme="minorHAnsi" w:cstheme="minorHAnsi"/>
              </w:rPr>
              <w:t>230</w:t>
            </w:r>
          </w:p>
        </w:tc>
        <w:tc>
          <w:tcPr>
            <w:tcW w:w="3021" w:type="dxa"/>
          </w:tcPr>
          <w:p w14:paraId="370DAC7A" w14:textId="77777777" w:rsidR="00B731C3" w:rsidRDefault="00B731C3" w:rsidP="00A13E67">
            <w:pPr>
              <w:pStyle w:val="muudetavtekst"/>
              <w:jc w:val="center"/>
              <w:rPr>
                <w:rFonts w:asciiTheme="minorHAnsi" w:hAnsiTheme="minorHAnsi" w:cstheme="minorHAnsi"/>
              </w:rPr>
            </w:pPr>
          </w:p>
        </w:tc>
      </w:tr>
      <w:tr w:rsidR="00B731C3" w14:paraId="4801BC50" w14:textId="77777777" w:rsidTr="00A13E67">
        <w:tc>
          <w:tcPr>
            <w:tcW w:w="3256" w:type="dxa"/>
          </w:tcPr>
          <w:p w14:paraId="39E15FAC" w14:textId="77777777" w:rsidR="00B731C3" w:rsidRDefault="00B731C3" w:rsidP="00A13E67">
            <w:pPr>
              <w:pStyle w:val="muudetavtekst"/>
              <w:rPr>
                <w:rFonts w:asciiTheme="minorHAnsi" w:hAnsiTheme="minorHAnsi" w:cstheme="minorHAnsi"/>
              </w:rPr>
            </w:pPr>
            <w:r>
              <w:rPr>
                <w:rFonts w:asciiTheme="minorHAnsi" w:hAnsiTheme="minorHAnsi" w:cstheme="minorHAnsi"/>
              </w:rPr>
              <w:t xml:space="preserve">Relvajõud </w:t>
            </w:r>
          </w:p>
        </w:tc>
        <w:tc>
          <w:tcPr>
            <w:tcW w:w="2785" w:type="dxa"/>
          </w:tcPr>
          <w:p w14:paraId="162012B1" w14:textId="77777777" w:rsidR="00B731C3" w:rsidRDefault="00B731C3" w:rsidP="00A13E67">
            <w:pPr>
              <w:pStyle w:val="muudetavtekst"/>
              <w:jc w:val="center"/>
              <w:rPr>
                <w:rFonts w:asciiTheme="minorHAnsi" w:hAnsiTheme="minorHAnsi" w:cstheme="minorBidi"/>
              </w:rPr>
            </w:pPr>
            <w:r w:rsidRPr="57490200">
              <w:rPr>
                <w:rFonts w:asciiTheme="minorHAnsi" w:hAnsiTheme="minorHAnsi" w:cstheme="minorBidi"/>
              </w:rPr>
              <w:t>(mõju on koostajale teada)</w:t>
            </w:r>
          </w:p>
        </w:tc>
        <w:tc>
          <w:tcPr>
            <w:tcW w:w="3021" w:type="dxa"/>
          </w:tcPr>
          <w:p w14:paraId="6779D588" w14:textId="77777777" w:rsidR="00B731C3" w:rsidRDefault="00B731C3" w:rsidP="00A13E67">
            <w:pPr>
              <w:pStyle w:val="muudetavtekst"/>
              <w:jc w:val="center"/>
              <w:rPr>
                <w:rFonts w:asciiTheme="minorHAnsi" w:hAnsiTheme="minorHAnsi" w:cstheme="minorHAnsi"/>
              </w:rPr>
            </w:pPr>
          </w:p>
        </w:tc>
      </w:tr>
      <w:tr w:rsidR="00B731C3" w14:paraId="33CA4910" w14:textId="77777777" w:rsidTr="00A13E67">
        <w:tc>
          <w:tcPr>
            <w:tcW w:w="3256" w:type="dxa"/>
          </w:tcPr>
          <w:p w14:paraId="05A23736" w14:textId="77777777" w:rsidR="00B731C3" w:rsidRPr="00A70592" w:rsidRDefault="00B731C3" w:rsidP="00A13E67">
            <w:pPr>
              <w:pStyle w:val="muudetavtekst"/>
              <w:rPr>
                <w:rFonts w:asciiTheme="minorHAnsi" w:hAnsiTheme="minorHAnsi" w:cstheme="minorBidi"/>
                <w:b/>
                <w:bCs/>
              </w:rPr>
            </w:pPr>
            <w:r w:rsidRPr="003D56CB">
              <w:rPr>
                <w:rFonts w:asciiTheme="minorHAnsi" w:hAnsiTheme="minorHAnsi" w:cstheme="minorBidi"/>
                <w:b/>
                <w:bCs/>
              </w:rPr>
              <w:t>KOVide tarbimine kokku</w:t>
            </w:r>
          </w:p>
        </w:tc>
        <w:tc>
          <w:tcPr>
            <w:tcW w:w="2785" w:type="dxa"/>
          </w:tcPr>
          <w:p w14:paraId="3B2CC68B" w14:textId="77777777" w:rsidR="00B731C3" w:rsidRDefault="00B731C3" w:rsidP="00A13E67">
            <w:pPr>
              <w:pStyle w:val="muudetavtekst"/>
              <w:jc w:val="center"/>
              <w:rPr>
                <w:rFonts w:asciiTheme="minorHAnsi" w:hAnsiTheme="minorHAnsi" w:cstheme="minorHAnsi"/>
              </w:rPr>
            </w:pPr>
            <w:r>
              <w:rPr>
                <w:rFonts w:asciiTheme="minorHAnsi" w:hAnsiTheme="minorHAnsi" w:cstheme="minorHAnsi"/>
              </w:rPr>
              <w:t>1179</w:t>
            </w:r>
          </w:p>
        </w:tc>
        <w:tc>
          <w:tcPr>
            <w:tcW w:w="3021" w:type="dxa"/>
          </w:tcPr>
          <w:p w14:paraId="3FC9979D" w14:textId="77777777" w:rsidR="00B731C3" w:rsidRDefault="00B731C3" w:rsidP="00A13E67">
            <w:pPr>
              <w:pStyle w:val="muudetavtekst"/>
              <w:jc w:val="center"/>
              <w:rPr>
                <w:rFonts w:asciiTheme="minorHAnsi" w:hAnsiTheme="minorHAnsi" w:cstheme="minorHAnsi"/>
              </w:rPr>
            </w:pPr>
          </w:p>
        </w:tc>
      </w:tr>
      <w:tr w:rsidR="00B731C3" w14:paraId="411D4163" w14:textId="77777777" w:rsidTr="00A13E67">
        <w:tc>
          <w:tcPr>
            <w:tcW w:w="3256" w:type="dxa"/>
          </w:tcPr>
          <w:p w14:paraId="7261BB48" w14:textId="77777777" w:rsidR="00B731C3" w:rsidRDefault="00B731C3" w:rsidP="00A13E67">
            <w:pPr>
              <w:pStyle w:val="muudetavtekst"/>
              <w:rPr>
                <w:rFonts w:asciiTheme="minorHAnsi" w:hAnsiTheme="minorHAnsi" w:cstheme="minorHAnsi"/>
              </w:rPr>
            </w:pPr>
            <w:r>
              <w:rPr>
                <w:rFonts w:asciiTheme="minorHAnsi" w:hAnsiTheme="minorHAnsi" w:cstheme="minorHAnsi"/>
              </w:rPr>
              <w:t xml:space="preserve">KOVide hooned </w:t>
            </w:r>
          </w:p>
        </w:tc>
        <w:tc>
          <w:tcPr>
            <w:tcW w:w="2785" w:type="dxa"/>
          </w:tcPr>
          <w:p w14:paraId="2A5ABC82" w14:textId="77777777" w:rsidR="00B731C3" w:rsidRDefault="00B731C3" w:rsidP="00A13E67">
            <w:pPr>
              <w:pStyle w:val="muudetavtekst"/>
              <w:jc w:val="center"/>
              <w:rPr>
                <w:rFonts w:asciiTheme="minorHAnsi" w:hAnsiTheme="minorHAnsi" w:cstheme="minorHAnsi"/>
              </w:rPr>
            </w:pPr>
            <w:r>
              <w:rPr>
                <w:rFonts w:asciiTheme="minorHAnsi" w:hAnsiTheme="minorHAnsi" w:cstheme="minorHAnsi"/>
              </w:rPr>
              <w:t>1023</w:t>
            </w:r>
          </w:p>
        </w:tc>
        <w:tc>
          <w:tcPr>
            <w:tcW w:w="3021" w:type="dxa"/>
          </w:tcPr>
          <w:p w14:paraId="75FE8ABC" w14:textId="77777777" w:rsidR="00B731C3" w:rsidRDefault="00B731C3" w:rsidP="00A13E67">
            <w:pPr>
              <w:pStyle w:val="muudetavtekst"/>
              <w:jc w:val="center"/>
              <w:rPr>
                <w:rFonts w:asciiTheme="minorHAnsi" w:hAnsiTheme="minorHAnsi" w:cstheme="minorHAnsi"/>
              </w:rPr>
            </w:pPr>
            <w:r>
              <w:rPr>
                <w:rFonts w:asciiTheme="minorHAnsi" w:hAnsiTheme="minorHAnsi" w:cstheme="minorHAnsi"/>
              </w:rPr>
              <w:t>86</w:t>
            </w:r>
          </w:p>
        </w:tc>
      </w:tr>
      <w:tr w:rsidR="00B731C3" w14:paraId="1BE3ABA0" w14:textId="77777777" w:rsidTr="00A13E67">
        <w:tc>
          <w:tcPr>
            <w:tcW w:w="3256" w:type="dxa"/>
          </w:tcPr>
          <w:p w14:paraId="1A624CCE" w14:textId="77777777" w:rsidR="00B731C3" w:rsidRDefault="00B731C3" w:rsidP="00A13E67">
            <w:pPr>
              <w:pStyle w:val="muudetavtekst"/>
              <w:rPr>
                <w:rFonts w:asciiTheme="minorHAnsi" w:hAnsiTheme="minorHAnsi" w:cstheme="minorHAnsi"/>
              </w:rPr>
            </w:pPr>
            <w:r>
              <w:rPr>
                <w:rFonts w:asciiTheme="minorHAnsi" w:hAnsiTheme="minorHAnsi" w:cstheme="minorHAnsi"/>
              </w:rPr>
              <w:t xml:space="preserve">KOVide rajatised </w:t>
            </w:r>
          </w:p>
        </w:tc>
        <w:tc>
          <w:tcPr>
            <w:tcW w:w="2785" w:type="dxa"/>
          </w:tcPr>
          <w:p w14:paraId="48294C82" w14:textId="77777777" w:rsidR="00B731C3" w:rsidRDefault="00B731C3" w:rsidP="00A13E67">
            <w:pPr>
              <w:pStyle w:val="muudetavtekst"/>
              <w:jc w:val="center"/>
              <w:rPr>
                <w:rFonts w:asciiTheme="minorHAnsi" w:hAnsiTheme="minorHAnsi" w:cstheme="minorHAnsi"/>
              </w:rPr>
            </w:pPr>
            <w:r>
              <w:rPr>
                <w:rFonts w:asciiTheme="minorHAnsi" w:hAnsiTheme="minorHAnsi" w:cstheme="minorHAnsi"/>
              </w:rPr>
              <w:t>149</w:t>
            </w:r>
          </w:p>
        </w:tc>
        <w:tc>
          <w:tcPr>
            <w:tcW w:w="3021" w:type="dxa"/>
          </w:tcPr>
          <w:p w14:paraId="7368F09D" w14:textId="77777777" w:rsidR="00B731C3" w:rsidRDefault="00B731C3" w:rsidP="00A13E67">
            <w:pPr>
              <w:pStyle w:val="muudetavtekst"/>
              <w:jc w:val="center"/>
              <w:rPr>
                <w:rFonts w:asciiTheme="minorHAnsi" w:hAnsiTheme="minorHAnsi" w:cstheme="minorHAnsi"/>
              </w:rPr>
            </w:pPr>
            <w:r>
              <w:rPr>
                <w:rFonts w:asciiTheme="minorHAnsi" w:hAnsiTheme="minorHAnsi" w:cstheme="minorHAnsi"/>
              </w:rPr>
              <w:t>13</w:t>
            </w:r>
          </w:p>
        </w:tc>
      </w:tr>
      <w:tr w:rsidR="00B731C3" w14:paraId="3EB40C61" w14:textId="77777777" w:rsidTr="00A13E67">
        <w:tc>
          <w:tcPr>
            <w:tcW w:w="3256" w:type="dxa"/>
          </w:tcPr>
          <w:p w14:paraId="083BE4E2" w14:textId="77777777" w:rsidR="00B731C3" w:rsidRDefault="00B731C3" w:rsidP="00A13E67">
            <w:pPr>
              <w:pStyle w:val="muudetavtekst"/>
              <w:rPr>
                <w:rFonts w:asciiTheme="minorHAnsi" w:hAnsiTheme="minorHAnsi" w:cstheme="minorHAnsi"/>
              </w:rPr>
            </w:pPr>
            <w:r>
              <w:rPr>
                <w:rFonts w:asciiTheme="minorHAnsi" w:hAnsiTheme="minorHAnsi" w:cstheme="minorHAnsi"/>
              </w:rPr>
              <w:t xml:space="preserve">KOVide muu transport </w:t>
            </w:r>
          </w:p>
        </w:tc>
        <w:tc>
          <w:tcPr>
            <w:tcW w:w="2785" w:type="dxa"/>
          </w:tcPr>
          <w:p w14:paraId="7CC857B6" w14:textId="77777777" w:rsidR="00B731C3" w:rsidRDefault="00B731C3" w:rsidP="00A13E67">
            <w:pPr>
              <w:pStyle w:val="muudetavtekst"/>
              <w:jc w:val="center"/>
              <w:rPr>
                <w:rFonts w:asciiTheme="minorHAnsi" w:hAnsiTheme="minorHAnsi" w:cstheme="minorHAnsi"/>
              </w:rPr>
            </w:pPr>
            <w:r>
              <w:rPr>
                <w:rFonts w:asciiTheme="minorHAnsi" w:hAnsiTheme="minorHAnsi" w:cstheme="minorHAnsi"/>
              </w:rPr>
              <w:t>7</w:t>
            </w:r>
          </w:p>
        </w:tc>
        <w:tc>
          <w:tcPr>
            <w:tcW w:w="3021" w:type="dxa"/>
          </w:tcPr>
          <w:p w14:paraId="2CD9E85D" w14:textId="77777777" w:rsidR="00B731C3" w:rsidRDefault="00B731C3" w:rsidP="00A13E67">
            <w:pPr>
              <w:pStyle w:val="muudetavtekst"/>
              <w:jc w:val="center"/>
              <w:rPr>
                <w:rFonts w:asciiTheme="minorHAnsi" w:hAnsiTheme="minorHAnsi" w:cstheme="minorHAnsi"/>
              </w:rPr>
            </w:pPr>
            <w:r>
              <w:rPr>
                <w:rFonts w:asciiTheme="minorHAnsi" w:hAnsiTheme="minorHAnsi" w:cstheme="minorHAnsi"/>
              </w:rPr>
              <w:t>1</w:t>
            </w:r>
          </w:p>
        </w:tc>
      </w:tr>
      <w:tr w:rsidR="00B731C3" w14:paraId="78732E7D" w14:textId="77777777" w:rsidTr="00A13E67">
        <w:tc>
          <w:tcPr>
            <w:tcW w:w="3256" w:type="dxa"/>
          </w:tcPr>
          <w:p w14:paraId="1C4BC1DA" w14:textId="77777777" w:rsidR="00B731C3" w:rsidRDefault="00B731C3" w:rsidP="00A13E67">
            <w:pPr>
              <w:pStyle w:val="muudetavtekst"/>
              <w:rPr>
                <w:rFonts w:asciiTheme="minorHAnsi" w:hAnsiTheme="minorHAnsi" w:cstheme="minorBidi"/>
              </w:rPr>
            </w:pPr>
            <w:r w:rsidRPr="57490200">
              <w:rPr>
                <w:rFonts w:asciiTheme="minorHAnsi" w:hAnsiTheme="minorHAnsi" w:cstheme="minorBidi"/>
              </w:rPr>
              <w:t>Tallinn</w:t>
            </w:r>
            <w:r w:rsidRPr="57490200">
              <w:rPr>
                <w:rStyle w:val="Allmrkuseviide"/>
                <w:rFonts w:asciiTheme="minorHAnsi" w:hAnsiTheme="minorHAnsi" w:cstheme="minorBidi"/>
              </w:rPr>
              <w:footnoteReference w:id="28"/>
            </w:r>
            <w:r w:rsidRPr="57490200">
              <w:rPr>
                <w:rFonts w:asciiTheme="minorHAnsi" w:hAnsiTheme="minorHAnsi" w:cstheme="minorBidi"/>
              </w:rPr>
              <w:t>, Tartu, Narva, Pärnu kokku</w:t>
            </w:r>
          </w:p>
        </w:tc>
        <w:tc>
          <w:tcPr>
            <w:tcW w:w="2785" w:type="dxa"/>
          </w:tcPr>
          <w:p w14:paraId="21588F28" w14:textId="77777777" w:rsidR="00B731C3" w:rsidRDefault="00B731C3" w:rsidP="00A13E67">
            <w:pPr>
              <w:pStyle w:val="muudetavtekst"/>
              <w:jc w:val="center"/>
              <w:rPr>
                <w:rFonts w:asciiTheme="minorHAnsi" w:hAnsiTheme="minorHAnsi" w:cstheme="minorHAnsi"/>
              </w:rPr>
            </w:pPr>
            <w:r>
              <w:rPr>
                <w:rFonts w:asciiTheme="minorHAnsi" w:hAnsiTheme="minorHAnsi" w:cstheme="minorHAnsi"/>
              </w:rPr>
              <w:t>490</w:t>
            </w:r>
          </w:p>
        </w:tc>
        <w:tc>
          <w:tcPr>
            <w:tcW w:w="3021" w:type="dxa"/>
          </w:tcPr>
          <w:p w14:paraId="5D78A588" w14:textId="77777777" w:rsidR="00B731C3" w:rsidRDefault="00B731C3" w:rsidP="00A13E67">
            <w:pPr>
              <w:pStyle w:val="muudetavtekst"/>
              <w:jc w:val="center"/>
              <w:rPr>
                <w:rFonts w:asciiTheme="minorHAnsi" w:hAnsiTheme="minorHAnsi" w:cstheme="minorHAnsi"/>
              </w:rPr>
            </w:pPr>
          </w:p>
        </w:tc>
      </w:tr>
      <w:tr w:rsidR="00B731C3" w14:paraId="2364E413" w14:textId="77777777" w:rsidTr="00A13E67">
        <w:tc>
          <w:tcPr>
            <w:tcW w:w="3256" w:type="dxa"/>
          </w:tcPr>
          <w:p w14:paraId="75CB7AAD" w14:textId="77777777" w:rsidR="00B731C3" w:rsidRDefault="00B731C3" w:rsidP="00A13E67">
            <w:pPr>
              <w:pStyle w:val="muudetavtekst"/>
              <w:rPr>
                <w:rFonts w:asciiTheme="minorHAnsi" w:hAnsiTheme="minorHAnsi" w:cstheme="minorBidi"/>
              </w:rPr>
            </w:pPr>
            <w:r w:rsidRPr="57490200">
              <w:rPr>
                <w:rFonts w:asciiTheme="minorHAnsi" w:hAnsiTheme="minorHAnsi" w:cstheme="minorBidi"/>
              </w:rPr>
              <w:t>Keskmised KOVid kokku</w:t>
            </w:r>
          </w:p>
        </w:tc>
        <w:tc>
          <w:tcPr>
            <w:tcW w:w="2785" w:type="dxa"/>
          </w:tcPr>
          <w:p w14:paraId="1A2E3610" w14:textId="77777777" w:rsidR="00B731C3" w:rsidRDefault="00B731C3" w:rsidP="00A13E67">
            <w:pPr>
              <w:pStyle w:val="muudetavtekst"/>
              <w:jc w:val="center"/>
              <w:rPr>
                <w:rFonts w:asciiTheme="minorHAnsi" w:hAnsiTheme="minorHAnsi" w:cstheme="minorHAnsi"/>
              </w:rPr>
            </w:pPr>
            <w:r>
              <w:rPr>
                <w:rFonts w:asciiTheme="minorHAnsi" w:hAnsiTheme="minorHAnsi" w:cstheme="minorHAnsi"/>
              </w:rPr>
              <w:t>630</w:t>
            </w:r>
          </w:p>
        </w:tc>
        <w:tc>
          <w:tcPr>
            <w:tcW w:w="3021" w:type="dxa"/>
          </w:tcPr>
          <w:p w14:paraId="79DCB6FC" w14:textId="77777777" w:rsidR="00B731C3" w:rsidRDefault="00B731C3" w:rsidP="00A13E67">
            <w:pPr>
              <w:pStyle w:val="muudetavtekst"/>
              <w:jc w:val="center"/>
              <w:rPr>
                <w:rFonts w:asciiTheme="minorHAnsi" w:hAnsiTheme="minorHAnsi" w:cstheme="minorHAnsi"/>
              </w:rPr>
            </w:pPr>
          </w:p>
        </w:tc>
      </w:tr>
      <w:tr w:rsidR="00B731C3" w14:paraId="089D510A" w14:textId="77777777" w:rsidTr="00A13E67">
        <w:tc>
          <w:tcPr>
            <w:tcW w:w="3256" w:type="dxa"/>
          </w:tcPr>
          <w:p w14:paraId="708E708F" w14:textId="77777777" w:rsidR="00B731C3" w:rsidRDefault="00B731C3" w:rsidP="00A13E67">
            <w:pPr>
              <w:pStyle w:val="muudetavtekst"/>
              <w:rPr>
                <w:rFonts w:asciiTheme="minorHAnsi" w:hAnsiTheme="minorHAnsi" w:cstheme="minorBidi"/>
              </w:rPr>
            </w:pPr>
            <w:r w:rsidRPr="57490200">
              <w:rPr>
                <w:rFonts w:asciiTheme="minorHAnsi" w:hAnsiTheme="minorHAnsi" w:cstheme="minorBidi"/>
              </w:rPr>
              <w:t>Väikesed KOVid kokku</w:t>
            </w:r>
          </w:p>
        </w:tc>
        <w:tc>
          <w:tcPr>
            <w:tcW w:w="2785" w:type="dxa"/>
          </w:tcPr>
          <w:p w14:paraId="23811EFA" w14:textId="77777777" w:rsidR="00B731C3" w:rsidRDefault="00B731C3" w:rsidP="00A13E67">
            <w:pPr>
              <w:pStyle w:val="muudetavtekst"/>
              <w:jc w:val="center"/>
              <w:rPr>
                <w:rFonts w:asciiTheme="minorHAnsi" w:hAnsiTheme="minorHAnsi" w:cstheme="minorHAnsi"/>
              </w:rPr>
            </w:pPr>
            <w:r>
              <w:rPr>
                <w:rFonts w:asciiTheme="minorHAnsi" w:hAnsiTheme="minorHAnsi" w:cstheme="minorHAnsi"/>
              </w:rPr>
              <w:t>57</w:t>
            </w:r>
          </w:p>
        </w:tc>
        <w:tc>
          <w:tcPr>
            <w:tcW w:w="3021" w:type="dxa"/>
          </w:tcPr>
          <w:p w14:paraId="2B8E2E92" w14:textId="77777777" w:rsidR="00B731C3" w:rsidRDefault="00B731C3" w:rsidP="00A13E67">
            <w:pPr>
              <w:pStyle w:val="muudetavtekst"/>
              <w:jc w:val="center"/>
              <w:rPr>
                <w:rFonts w:asciiTheme="minorHAnsi" w:hAnsiTheme="minorHAnsi" w:cstheme="minorHAnsi"/>
              </w:rPr>
            </w:pPr>
          </w:p>
        </w:tc>
      </w:tr>
      <w:tr w:rsidR="00B731C3" w14:paraId="1E2B9E12" w14:textId="77777777" w:rsidTr="00A13E67">
        <w:tc>
          <w:tcPr>
            <w:tcW w:w="3256" w:type="dxa"/>
          </w:tcPr>
          <w:p w14:paraId="163A9060" w14:textId="77777777" w:rsidR="00B731C3" w:rsidRDefault="00B731C3" w:rsidP="00A13E67">
            <w:pPr>
              <w:pStyle w:val="muudetavtekst"/>
              <w:rPr>
                <w:rFonts w:asciiTheme="minorHAnsi" w:hAnsiTheme="minorHAnsi" w:cstheme="minorBidi"/>
              </w:rPr>
            </w:pPr>
            <w:r w:rsidRPr="57490200">
              <w:rPr>
                <w:rFonts w:asciiTheme="minorHAnsi" w:hAnsiTheme="minorHAnsi" w:cstheme="minorBidi"/>
              </w:rPr>
              <w:t>Avalik sektor kokku</w:t>
            </w:r>
          </w:p>
          <w:p w14:paraId="5FC17F00" w14:textId="77777777" w:rsidR="00B731C3" w:rsidRDefault="00B731C3" w:rsidP="00A13E67">
            <w:pPr>
              <w:pStyle w:val="muudetavtekst"/>
              <w:rPr>
                <w:rFonts w:asciiTheme="minorHAnsi" w:hAnsiTheme="minorHAnsi" w:cstheme="minorBidi"/>
              </w:rPr>
            </w:pPr>
            <w:r w:rsidRPr="57490200">
              <w:rPr>
                <w:rFonts w:asciiTheme="minorHAnsi" w:hAnsiTheme="minorHAnsi" w:cstheme="minorBidi"/>
              </w:rPr>
              <w:t>(v</w:t>
            </w:r>
            <w:r>
              <w:rPr>
                <w:rFonts w:asciiTheme="minorHAnsi" w:hAnsiTheme="minorHAnsi" w:cstheme="minorBidi"/>
              </w:rPr>
              <w:t>.</w:t>
            </w:r>
            <w:r w:rsidRPr="57490200">
              <w:rPr>
                <w:rFonts w:asciiTheme="minorHAnsi" w:hAnsiTheme="minorHAnsi" w:cstheme="minorBidi"/>
              </w:rPr>
              <w:t>a relvajõud)</w:t>
            </w:r>
          </w:p>
        </w:tc>
        <w:tc>
          <w:tcPr>
            <w:tcW w:w="2785" w:type="dxa"/>
          </w:tcPr>
          <w:p w14:paraId="1D3211D2" w14:textId="77777777" w:rsidR="00B731C3" w:rsidRDefault="00B731C3" w:rsidP="00A13E67">
            <w:pPr>
              <w:pStyle w:val="muudetavtekst"/>
              <w:jc w:val="center"/>
              <w:rPr>
                <w:rFonts w:asciiTheme="minorHAnsi" w:hAnsiTheme="minorHAnsi" w:cstheme="minorHAnsi"/>
              </w:rPr>
            </w:pPr>
            <w:r>
              <w:rPr>
                <w:rFonts w:asciiTheme="minorHAnsi" w:hAnsiTheme="minorHAnsi" w:cstheme="minorHAnsi"/>
              </w:rPr>
              <w:t>2412</w:t>
            </w:r>
          </w:p>
        </w:tc>
        <w:tc>
          <w:tcPr>
            <w:tcW w:w="3021" w:type="dxa"/>
          </w:tcPr>
          <w:p w14:paraId="24E27191" w14:textId="77777777" w:rsidR="00B731C3" w:rsidRDefault="00B731C3" w:rsidP="00A13E67">
            <w:pPr>
              <w:pStyle w:val="muudetavtekst"/>
              <w:jc w:val="center"/>
              <w:rPr>
                <w:rFonts w:asciiTheme="minorHAnsi" w:hAnsiTheme="minorHAnsi" w:cstheme="minorHAnsi"/>
              </w:rPr>
            </w:pPr>
          </w:p>
        </w:tc>
      </w:tr>
      <w:bookmarkEnd w:id="4"/>
    </w:tbl>
    <w:p w14:paraId="0A5BDC94" w14:textId="77777777" w:rsidR="00B731C3" w:rsidRDefault="00B731C3" w:rsidP="00B731C3">
      <w:pPr>
        <w:pStyle w:val="muudetavtekst"/>
        <w:rPr>
          <w:rFonts w:asciiTheme="minorHAnsi" w:hAnsiTheme="minorHAnsi" w:cstheme="minorHAnsi"/>
        </w:rPr>
      </w:pPr>
    </w:p>
    <w:p w14:paraId="0129CA8C" w14:textId="77777777" w:rsidR="00B731C3" w:rsidRDefault="00B731C3" w:rsidP="00B731C3">
      <w:pPr>
        <w:pStyle w:val="muudetavtekst"/>
        <w:rPr>
          <w:rFonts w:asciiTheme="minorHAnsi" w:hAnsiTheme="minorHAnsi" w:cstheme="minorBidi"/>
        </w:rPr>
      </w:pPr>
      <w:r>
        <w:rPr>
          <w:rFonts w:asciiTheme="minorHAnsi" w:hAnsiTheme="minorHAnsi" w:cstheme="minorBidi"/>
        </w:rPr>
        <w:t>A</w:t>
      </w:r>
      <w:r w:rsidRPr="57490200">
        <w:rPr>
          <w:rFonts w:asciiTheme="minorHAnsi" w:hAnsiTheme="minorHAnsi" w:cstheme="minorBidi"/>
        </w:rPr>
        <w:t xml:space="preserve">valiku sektori asutuste </w:t>
      </w:r>
      <w:r>
        <w:rPr>
          <w:rFonts w:asciiTheme="minorHAnsi" w:hAnsiTheme="minorHAnsi" w:cstheme="minorBidi"/>
        </w:rPr>
        <w:t xml:space="preserve">kulutused kogu tarbitud energiast jagunevad järgmiselt: </w:t>
      </w:r>
      <w:r w:rsidRPr="57490200">
        <w:rPr>
          <w:rFonts w:asciiTheme="minorHAnsi" w:hAnsiTheme="minorHAnsi" w:cstheme="minorBidi"/>
        </w:rPr>
        <w:t xml:space="preserve">umbes 40% </w:t>
      </w:r>
      <w:r>
        <w:rPr>
          <w:rFonts w:asciiTheme="minorHAnsi" w:hAnsiTheme="minorHAnsi" w:cstheme="minorBidi"/>
        </w:rPr>
        <w:t>elekter</w:t>
      </w:r>
      <w:r w:rsidRPr="57490200">
        <w:rPr>
          <w:rFonts w:asciiTheme="minorHAnsi" w:hAnsiTheme="minorHAnsi" w:cstheme="minorBidi"/>
        </w:rPr>
        <w:t>, 45% küte ja soojusenergia</w:t>
      </w:r>
      <w:r>
        <w:rPr>
          <w:rFonts w:asciiTheme="minorHAnsi" w:hAnsiTheme="minorHAnsi" w:cstheme="minorBidi"/>
        </w:rPr>
        <w:t xml:space="preserve"> ning</w:t>
      </w:r>
      <w:r w:rsidRPr="57490200">
        <w:rPr>
          <w:rFonts w:asciiTheme="minorHAnsi" w:hAnsiTheme="minorHAnsi" w:cstheme="minorBidi"/>
        </w:rPr>
        <w:t xml:space="preserve"> transpordikütus</w:t>
      </w:r>
      <w:r>
        <w:rPr>
          <w:rFonts w:asciiTheme="minorHAnsi" w:hAnsiTheme="minorHAnsi" w:cstheme="minorBidi"/>
        </w:rPr>
        <w:t xml:space="preserve">ed </w:t>
      </w:r>
      <w:r w:rsidRPr="57490200">
        <w:rPr>
          <w:rFonts w:asciiTheme="minorHAnsi" w:hAnsiTheme="minorHAnsi" w:cstheme="minorBidi"/>
        </w:rPr>
        <w:t>ligikaudu 15%</w:t>
      </w:r>
      <w:r>
        <w:rPr>
          <w:rFonts w:asciiTheme="minorHAnsi" w:hAnsiTheme="minorHAnsi" w:cstheme="minorBidi"/>
        </w:rPr>
        <w:t>.</w:t>
      </w:r>
    </w:p>
    <w:p w14:paraId="3B4C19DA" w14:textId="77777777" w:rsidR="00B731C3" w:rsidRDefault="00B731C3" w:rsidP="00B731C3">
      <w:pPr>
        <w:pStyle w:val="muudetavtekst"/>
        <w:rPr>
          <w:rFonts w:asciiTheme="minorHAnsi" w:hAnsiTheme="minorHAnsi" w:cstheme="minorHAnsi"/>
        </w:rPr>
      </w:pPr>
    </w:p>
    <w:p w14:paraId="7188947D" w14:textId="77777777" w:rsidR="00B731C3" w:rsidRDefault="00B731C3" w:rsidP="00B731C3">
      <w:pPr>
        <w:pStyle w:val="muudetavtekst"/>
        <w:rPr>
          <w:rFonts w:asciiTheme="minorHAnsi" w:hAnsiTheme="minorHAnsi" w:cstheme="minorBidi"/>
          <w:u w:val="single"/>
        </w:rPr>
      </w:pPr>
      <w:r w:rsidRPr="57490200">
        <w:rPr>
          <w:rFonts w:asciiTheme="minorHAnsi" w:hAnsiTheme="minorHAnsi" w:cstheme="minorBidi"/>
          <w:u w:val="single"/>
        </w:rPr>
        <w:t>Avaliku sektori asutustele on direktiivi ülevõtmisel ette nähtud üleminekusätted:</w:t>
      </w:r>
    </w:p>
    <w:p w14:paraId="1FB571FA" w14:textId="77777777" w:rsidR="00B731C3" w:rsidRDefault="00B731C3" w:rsidP="00B731C3">
      <w:pPr>
        <w:pStyle w:val="muudetavtekst"/>
        <w:rPr>
          <w:rFonts w:asciiTheme="minorHAnsi" w:hAnsiTheme="minorHAnsi" w:cstheme="minorBidi"/>
        </w:rPr>
      </w:pPr>
      <w:r w:rsidRPr="57490200">
        <w:rPr>
          <w:rFonts w:asciiTheme="minorHAnsi" w:hAnsiTheme="minorHAnsi" w:cstheme="minorBidi"/>
        </w:rPr>
        <w:lastRenderedPageBreak/>
        <w:t>Kogusummana peaks avaliku sektori iga</w:t>
      </w:r>
      <w:r>
        <w:rPr>
          <w:rFonts w:asciiTheme="minorHAnsi" w:hAnsiTheme="minorHAnsi" w:cstheme="minorBidi"/>
        </w:rPr>
        <w:t>-</w:t>
      </w:r>
      <w:r w:rsidRPr="57490200">
        <w:rPr>
          <w:rFonts w:asciiTheme="minorHAnsi" w:hAnsiTheme="minorHAnsi" w:cstheme="minorBidi"/>
        </w:rPr>
        <w:t>aastane energia kokkuhoid olema umbes 45 GWh, mille võrdselt jagamine kõigi asutuste peale ei ole mõistlik, sest tarbimi</w:t>
      </w:r>
      <w:r>
        <w:rPr>
          <w:rFonts w:asciiTheme="minorHAnsi" w:hAnsiTheme="minorHAnsi" w:cstheme="minorBidi"/>
        </w:rPr>
        <w:t>ne</w:t>
      </w:r>
      <w:r w:rsidRPr="57490200">
        <w:rPr>
          <w:rFonts w:asciiTheme="minorHAnsi" w:hAnsiTheme="minorHAnsi" w:cstheme="minorBidi"/>
        </w:rPr>
        <w:t xml:space="preserve"> ja võimalused on erinevad. Seetõttu </w:t>
      </w:r>
      <w:r>
        <w:rPr>
          <w:rFonts w:asciiTheme="minorHAnsi" w:hAnsiTheme="minorHAnsi" w:cstheme="minorBidi"/>
        </w:rPr>
        <w:t xml:space="preserve">sõltub </w:t>
      </w:r>
      <w:r w:rsidRPr="57490200">
        <w:rPr>
          <w:rFonts w:asciiTheme="minorHAnsi" w:hAnsiTheme="minorHAnsi" w:cstheme="minorBidi"/>
        </w:rPr>
        <w:t>energiasäästu kohustuse rakend</w:t>
      </w:r>
      <w:r>
        <w:rPr>
          <w:rFonts w:asciiTheme="minorHAnsi" w:hAnsiTheme="minorHAnsi" w:cstheme="minorBidi"/>
        </w:rPr>
        <w:t>a</w:t>
      </w:r>
      <w:r w:rsidRPr="57490200">
        <w:rPr>
          <w:rFonts w:asciiTheme="minorHAnsi" w:hAnsiTheme="minorHAnsi" w:cstheme="minorBidi"/>
        </w:rPr>
        <w:t>mine kohalike</w:t>
      </w:r>
      <w:r>
        <w:rPr>
          <w:rFonts w:asciiTheme="minorHAnsi" w:hAnsiTheme="minorHAnsi" w:cstheme="minorBidi"/>
        </w:rPr>
        <w:t>s</w:t>
      </w:r>
      <w:r w:rsidRPr="57490200">
        <w:rPr>
          <w:rFonts w:asciiTheme="minorHAnsi" w:hAnsiTheme="minorHAnsi" w:cstheme="minorBidi"/>
        </w:rPr>
        <w:t xml:space="preserve"> omavalitsuste</w:t>
      </w:r>
      <w:r>
        <w:rPr>
          <w:rFonts w:asciiTheme="minorHAnsi" w:hAnsiTheme="minorHAnsi" w:cstheme="minorBidi"/>
        </w:rPr>
        <w:t>s</w:t>
      </w:r>
      <w:r w:rsidRPr="57490200">
        <w:rPr>
          <w:rFonts w:asciiTheme="minorHAnsi" w:hAnsiTheme="minorHAnsi" w:cstheme="minorBidi"/>
        </w:rPr>
        <w:t xml:space="preserve"> haldusüksuse elanike arvust.</w:t>
      </w:r>
    </w:p>
    <w:p w14:paraId="0EE25353" w14:textId="77777777" w:rsidR="00B731C3" w:rsidRDefault="00B731C3" w:rsidP="00B731C3">
      <w:pPr>
        <w:pStyle w:val="muudetavtekst"/>
        <w:rPr>
          <w:rFonts w:asciiTheme="minorHAnsi" w:hAnsiTheme="minorHAnsi" w:cstheme="minorBidi"/>
        </w:rPr>
      </w:pPr>
      <w:r w:rsidRPr="57490200">
        <w:rPr>
          <w:rFonts w:asciiTheme="minorHAnsi" w:hAnsiTheme="minorHAnsi" w:cstheme="minorBidi"/>
        </w:rPr>
        <w:t>Keskvalitsusele ja avalik-õiguslikele üksustele üleminekuaega ei ole. Ja nõuded rakenduvad alates 11.10.2025. 2025. aasta 2,5 kuu kohta on energiasäästu kohustus 0,4% (2,5 kuud</w:t>
      </w:r>
      <w:r>
        <w:rPr>
          <w:rFonts w:asciiTheme="minorHAnsi" w:hAnsiTheme="minorHAnsi" w:cstheme="minorBidi"/>
        </w:rPr>
        <w:t xml:space="preserve"> </w:t>
      </w:r>
      <w:r w:rsidRPr="57490200">
        <w:rPr>
          <w:rFonts w:asciiTheme="minorHAnsi" w:hAnsiTheme="minorHAnsi" w:cstheme="minorBidi"/>
        </w:rPr>
        <w:t>direktiivi kohustuse rakendamise algusest) võrreldes 2021</w:t>
      </w:r>
      <w:r>
        <w:rPr>
          <w:rFonts w:asciiTheme="minorHAnsi" w:hAnsiTheme="minorHAnsi" w:cstheme="minorBidi"/>
        </w:rPr>
        <w:t>.</w:t>
      </w:r>
      <w:r w:rsidRPr="57490200">
        <w:rPr>
          <w:rFonts w:asciiTheme="minorHAnsi" w:hAnsiTheme="minorHAnsi" w:cstheme="minorBidi"/>
        </w:rPr>
        <w:t xml:space="preserve"> aasta tarbimisega.</w:t>
      </w:r>
    </w:p>
    <w:p w14:paraId="1BA33FEA" w14:textId="77777777" w:rsidR="00B731C3" w:rsidRDefault="00B731C3" w:rsidP="00B731C3">
      <w:pPr>
        <w:pStyle w:val="muudetavtekst"/>
        <w:rPr>
          <w:rFonts w:asciiTheme="minorHAnsi" w:hAnsiTheme="minorHAnsi" w:cstheme="minorBidi"/>
        </w:rPr>
      </w:pPr>
      <w:r w:rsidRPr="57490200">
        <w:rPr>
          <w:rFonts w:asciiTheme="minorHAnsi" w:hAnsiTheme="minorHAnsi" w:cstheme="minorBidi"/>
        </w:rPr>
        <w:t>Kohalikule omavalitsusele, mille haldusalas üle 50 000 elaniku</w:t>
      </w:r>
      <w:r>
        <w:rPr>
          <w:rFonts w:asciiTheme="minorHAnsi" w:hAnsiTheme="minorHAnsi" w:cstheme="minorBidi"/>
        </w:rPr>
        <w:t>,</w:t>
      </w:r>
      <w:r w:rsidRPr="57490200">
        <w:rPr>
          <w:rFonts w:asciiTheme="minorHAnsi" w:hAnsiTheme="minorHAnsi" w:cstheme="minorBidi"/>
        </w:rPr>
        <w:t xml:space="preserve"> rakendub</w:t>
      </w:r>
      <w:r>
        <w:rPr>
          <w:rFonts w:asciiTheme="minorHAnsi" w:hAnsiTheme="minorHAnsi" w:cstheme="minorBidi"/>
        </w:rPr>
        <w:t xml:space="preserve"> </w:t>
      </w:r>
      <w:r w:rsidRPr="57490200">
        <w:rPr>
          <w:rFonts w:asciiTheme="minorHAnsi" w:hAnsiTheme="minorHAnsi" w:cstheme="minorBidi"/>
        </w:rPr>
        <w:t xml:space="preserve">energiasäästu kohustus  alates 11.10.2025. 2025. aasta 2,5 kuu kohta on energiasäästu kohustus 0,4% sarnaselt keskvalitsusele. </w:t>
      </w:r>
    </w:p>
    <w:p w14:paraId="60D7C6A7" w14:textId="77777777" w:rsidR="00B731C3" w:rsidRDefault="00B731C3" w:rsidP="00B731C3">
      <w:pPr>
        <w:pStyle w:val="muudetavtekst"/>
        <w:rPr>
          <w:rFonts w:asciiTheme="minorHAnsi" w:hAnsiTheme="minorHAnsi" w:cstheme="minorBidi"/>
        </w:rPr>
      </w:pPr>
      <w:r w:rsidRPr="57490200">
        <w:rPr>
          <w:rFonts w:asciiTheme="minorHAnsi" w:hAnsiTheme="minorHAnsi" w:cstheme="minorBidi"/>
        </w:rPr>
        <w:t>Kohalikule omavalitsusele, mille haldusalas on alla 50 000 elaniku, kuid rohkem kui 5000 elanikku</w:t>
      </w:r>
      <w:r>
        <w:rPr>
          <w:rFonts w:asciiTheme="minorHAnsi" w:hAnsiTheme="minorHAnsi" w:cstheme="minorBidi"/>
        </w:rPr>
        <w:t>,</w:t>
      </w:r>
      <w:r w:rsidRPr="57490200">
        <w:rPr>
          <w:rFonts w:asciiTheme="minorHAnsi" w:hAnsiTheme="minorHAnsi" w:cstheme="minorBidi"/>
        </w:rPr>
        <w:t xml:space="preserve"> rakendub energiasäästu kohustus 01.01.2027 ja kohalikele omavalitsustele, kus elab </w:t>
      </w:r>
      <w:r>
        <w:rPr>
          <w:rFonts w:asciiTheme="minorHAnsi" w:hAnsiTheme="minorHAnsi" w:cstheme="minorBidi"/>
        </w:rPr>
        <w:t>vähem kui</w:t>
      </w:r>
      <w:r w:rsidRPr="57490200">
        <w:rPr>
          <w:rFonts w:asciiTheme="minorHAnsi" w:hAnsiTheme="minorHAnsi" w:cstheme="minorBidi"/>
        </w:rPr>
        <w:t xml:space="preserve"> 5000 elanik</w:t>
      </w:r>
      <w:r>
        <w:rPr>
          <w:rFonts w:asciiTheme="minorHAnsi" w:hAnsiTheme="minorHAnsi" w:cstheme="minorBidi"/>
        </w:rPr>
        <w:t>k</w:t>
      </w:r>
      <w:r w:rsidRPr="57490200">
        <w:rPr>
          <w:rFonts w:asciiTheme="minorHAnsi" w:hAnsiTheme="minorHAnsi" w:cstheme="minorBidi"/>
        </w:rPr>
        <w:t>u</w:t>
      </w:r>
      <w:r>
        <w:rPr>
          <w:rFonts w:asciiTheme="minorHAnsi" w:hAnsiTheme="minorHAnsi" w:cstheme="minorBidi"/>
        </w:rPr>
        <w:t>, rakendub</w:t>
      </w:r>
      <w:r w:rsidRPr="57490200">
        <w:rPr>
          <w:rFonts w:asciiTheme="minorHAnsi" w:hAnsiTheme="minorHAnsi" w:cstheme="minorBidi"/>
        </w:rPr>
        <w:t xml:space="preserve"> kohustus 01.01.2030.</w:t>
      </w:r>
    </w:p>
    <w:p w14:paraId="50ECDBEB" w14:textId="77777777" w:rsidR="00B731C3" w:rsidRDefault="00B731C3" w:rsidP="00B731C3">
      <w:pPr>
        <w:pStyle w:val="muudetavtekst"/>
        <w:rPr>
          <w:rFonts w:asciiTheme="minorHAnsi" w:hAnsiTheme="minorHAnsi" w:cstheme="minorBidi"/>
        </w:rPr>
      </w:pPr>
      <w:r w:rsidRPr="57490200">
        <w:rPr>
          <w:rFonts w:asciiTheme="minorHAnsi" w:hAnsiTheme="minorHAnsi" w:cstheme="minorBidi"/>
        </w:rPr>
        <w:t>Ka energiasäästu baastase määra</w:t>
      </w:r>
      <w:r>
        <w:rPr>
          <w:rFonts w:asciiTheme="minorHAnsi" w:hAnsiTheme="minorHAnsi" w:cstheme="minorBidi"/>
        </w:rPr>
        <w:t>takse</w:t>
      </w:r>
      <w:r w:rsidRPr="57490200">
        <w:rPr>
          <w:rFonts w:asciiTheme="minorHAnsi" w:hAnsiTheme="minorHAnsi" w:cstheme="minorBidi"/>
        </w:rPr>
        <w:t xml:space="preserve"> igale </w:t>
      </w:r>
      <w:r>
        <w:rPr>
          <w:rFonts w:asciiTheme="minorHAnsi" w:hAnsiTheme="minorHAnsi" w:cstheme="minorBidi"/>
        </w:rPr>
        <w:t>rühmale</w:t>
      </w:r>
      <w:r w:rsidRPr="57490200">
        <w:rPr>
          <w:rFonts w:asciiTheme="minorHAnsi" w:hAnsiTheme="minorHAnsi" w:cstheme="minorBidi"/>
        </w:rPr>
        <w:t xml:space="preserve"> eraldi</w:t>
      </w:r>
      <w:r>
        <w:rPr>
          <w:rFonts w:asciiTheme="minorHAnsi" w:hAnsiTheme="minorHAnsi" w:cstheme="minorBidi"/>
        </w:rPr>
        <w:t xml:space="preserve"> </w:t>
      </w:r>
      <w:r w:rsidRPr="57490200">
        <w:rPr>
          <w:rFonts w:asciiTheme="minorHAnsi" w:hAnsiTheme="minorHAnsi" w:cstheme="minorBidi"/>
        </w:rPr>
        <w:t>tarbimise</w:t>
      </w:r>
      <w:r>
        <w:rPr>
          <w:rFonts w:asciiTheme="minorHAnsi" w:hAnsiTheme="minorHAnsi" w:cstheme="minorBidi"/>
        </w:rPr>
        <w:t xml:space="preserve"> järgi</w:t>
      </w:r>
      <w:r w:rsidRPr="57490200">
        <w:rPr>
          <w:rFonts w:asciiTheme="minorHAnsi" w:hAnsiTheme="minorHAnsi" w:cstheme="minorBidi"/>
        </w:rPr>
        <w:t>. Arvutamisel võetakse aluseks 1,9% säästukohustus.</w:t>
      </w:r>
    </w:p>
    <w:p w14:paraId="29BDABC0" w14:textId="77777777" w:rsidR="00B731C3" w:rsidRDefault="00B731C3" w:rsidP="00B731C3">
      <w:pPr>
        <w:pStyle w:val="muudetavtekst"/>
        <w:rPr>
          <w:rFonts w:asciiTheme="minorHAnsi" w:hAnsiTheme="minorHAnsi" w:cstheme="minorBidi"/>
        </w:rPr>
      </w:pPr>
      <w:r w:rsidRPr="57490200">
        <w:rPr>
          <w:rFonts w:asciiTheme="minorHAnsi" w:hAnsiTheme="minorHAnsi" w:cstheme="minorBidi"/>
        </w:rPr>
        <w:t>Eestis on üle 50 000 elanikuga omavalitsusi neli – Tallinn, Tartu, Narva ja Pärnu linn.</w:t>
      </w:r>
    </w:p>
    <w:p w14:paraId="6C72B55F" w14:textId="77777777" w:rsidR="00B731C3" w:rsidRDefault="00B731C3" w:rsidP="00B731C3">
      <w:pPr>
        <w:pStyle w:val="muudetavtekst"/>
        <w:rPr>
          <w:rFonts w:asciiTheme="minorHAnsi" w:hAnsiTheme="minorHAnsi" w:cstheme="minorBidi"/>
        </w:rPr>
      </w:pPr>
      <w:r w:rsidRPr="57490200">
        <w:rPr>
          <w:rFonts w:asciiTheme="minorHAnsi" w:hAnsiTheme="minorHAnsi" w:cstheme="minorBidi"/>
        </w:rPr>
        <w:t>Kohalike omavalitusi elanike arvuga 5000</w:t>
      </w:r>
      <w:r>
        <w:rPr>
          <w:rFonts w:asciiTheme="minorHAnsi" w:hAnsiTheme="minorHAnsi" w:cstheme="minorBidi"/>
        </w:rPr>
        <w:t>–</w:t>
      </w:r>
      <w:r w:rsidRPr="57490200">
        <w:rPr>
          <w:rFonts w:asciiTheme="minorHAnsi" w:hAnsiTheme="minorHAnsi" w:cstheme="minorBidi"/>
        </w:rPr>
        <w:t>50 000 on kokku 60: Saaremaa vald, Kohtla-Järve linn, Saue vald, Rae vald, Viimsi vald, Harku vald, Viljandi linn, Maardu linn, Valga vald, Rakvere linn, Elva vald, Kambja vald, Lääne-Harju vald, Viljandi vald, Põlva vald, Tartu vald, Rapla vald, Jõgeva vald, Haapsalu linn, Tori vald, Sillamäe linn, Saku vald, Jõhvi vald, Võru linn, Võru vald, Türi vald, Tapa vald, Keila linn, Paide linn, Hiiumaa vald, Põltsamaa vald, Järva vald, Lüganuse vald, Põhja-Pärnumaa vald, Kohila vald, Kose vald, Põhja-Sakala vald, Märjamaa vald, Jõelähtme vald, Mulgi vald, Lääne-Nigula vald, Kiili vald, Vinni vald, Kuusalu vald, Anija vald, Otepää vald, Kastre vald, Räpina vald, Tõrva vald, Luunja vald, Rakvere vald, Viru-Nigula vald, Väike-Maarja vald, Kehtna vald, Raasiku vald, Peipsiääre vald, Mustvee vald, Lääneranna vald, Rõuge vald, Häädemeeste vald.</w:t>
      </w:r>
    </w:p>
    <w:p w14:paraId="07A4E870" w14:textId="77777777" w:rsidR="00B731C3" w:rsidRDefault="00B731C3" w:rsidP="00B731C3">
      <w:pPr>
        <w:pStyle w:val="muudetavtekst"/>
        <w:rPr>
          <w:rFonts w:asciiTheme="minorHAnsi" w:hAnsiTheme="minorHAnsi" w:cstheme="minorHAnsi"/>
        </w:rPr>
      </w:pPr>
      <w:r w:rsidRPr="57490200">
        <w:rPr>
          <w:rFonts w:asciiTheme="minorHAnsi" w:hAnsiTheme="minorHAnsi" w:cstheme="minorBidi"/>
        </w:rPr>
        <w:t>Kohalik</w:t>
      </w:r>
      <w:r>
        <w:rPr>
          <w:rFonts w:asciiTheme="minorHAnsi" w:hAnsiTheme="minorHAnsi" w:cstheme="minorBidi"/>
        </w:rPr>
        <w:t>k</w:t>
      </w:r>
      <w:r w:rsidRPr="57490200">
        <w:rPr>
          <w:rFonts w:asciiTheme="minorHAnsi" w:hAnsiTheme="minorHAnsi" w:cstheme="minorBidi"/>
        </w:rPr>
        <w:t>e omavalitsusi</w:t>
      </w:r>
      <w:r>
        <w:rPr>
          <w:rFonts w:asciiTheme="minorHAnsi" w:hAnsiTheme="minorHAnsi" w:cstheme="minorBidi"/>
        </w:rPr>
        <w:t>,</w:t>
      </w:r>
      <w:r w:rsidRPr="57490200">
        <w:rPr>
          <w:rFonts w:asciiTheme="minorHAnsi" w:hAnsiTheme="minorHAnsi" w:cstheme="minorBidi"/>
        </w:rPr>
        <w:t xml:space="preserve"> kus elanik</w:t>
      </w:r>
      <w:r>
        <w:rPr>
          <w:rFonts w:asciiTheme="minorHAnsi" w:hAnsiTheme="minorHAnsi" w:cstheme="minorBidi"/>
        </w:rPr>
        <w:t>k</w:t>
      </w:r>
      <w:r w:rsidRPr="57490200">
        <w:rPr>
          <w:rFonts w:asciiTheme="minorHAnsi" w:hAnsiTheme="minorHAnsi" w:cstheme="minorBidi"/>
        </w:rPr>
        <w:t xml:space="preserve">e on </w:t>
      </w:r>
      <w:r>
        <w:rPr>
          <w:rFonts w:asciiTheme="minorHAnsi" w:hAnsiTheme="minorHAnsi" w:cstheme="minorBidi"/>
        </w:rPr>
        <w:t>vähem kui</w:t>
      </w:r>
      <w:r w:rsidRPr="57490200">
        <w:rPr>
          <w:rFonts w:asciiTheme="minorHAnsi" w:hAnsiTheme="minorHAnsi" w:cstheme="minorBidi"/>
        </w:rPr>
        <w:t xml:space="preserve"> 5000</w:t>
      </w:r>
      <w:r>
        <w:rPr>
          <w:rFonts w:asciiTheme="minorHAnsi" w:hAnsiTheme="minorHAnsi" w:cstheme="minorBidi"/>
        </w:rPr>
        <w:t>,</w:t>
      </w:r>
      <w:r w:rsidRPr="57490200">
        <w:rPr>
          <w:rFonts w:asciiTheme="minorHAnsi" w:hAnsiTheme="minorHAnsi" w:cstheme="minorBidi"/>
        </w:rPr>
        <w:t xml:space="preserve"> on 15: Kanepi vald, Narva-Jõesuu linn, Kadrina vald, Alutaguse vald, Toila vald, Nõo vald, Saarde vald, Haljala vald, Antsla vald, </w:t>
      </w:r>
      <w:r w:rsidRPr="00240D5C">
        <w:rPr>
          <w:rFonts w:asciiTheme="minorHAnsi" w:hAnsiTheme="minorHAnsi" w:cstheme="minorHAnsi"/>
        </w:rPr>
        <w:t>Setomaa vald, Loksa linn, Muhu vald, Kihnu vald, Vormsi vald, Ruhnu vald</w:t>
      </w:r>
      <w:r>
        <w:rPr>
          <w:rFonts w:asciiTheme="minorHAnsi" w:hAnsiTheme="minorHAnsi" w:cstheme="minorHAnsi"/>
        </w:rPr>
        <w:t>.</w:t>
      </w:r>
    </w:p>
    <w:p w14:paraId="5C75CBF4" w14:textId="77777777" w:rsidR="00B731C3" w:rsidRDefault="00B731C3" w:rsidP="00B731C3">
      <w:pPr>
        <w:pStyle w:val="muudetavtekst"/>
        <w:rPr>
          <w:rFonts w:asciiTheme="minorHAnsi" w:hAnsiTheme="minorHAnsi" w:cstheme="minorBidi"/>
        </w:rPr>
      </w:pPr>
      <w:r>
        <w:rPr>
          <w:noProof/>
        </w:rPr>
        <w:lastRenderedPageBreak/>
        <w:drawing>
          <wp:inline distT="0" distB="0" distL="0" distR="0" wp14:anchorId="01A2EE08" wp14:editId="62924AED">
            <wp:extent cx="5760720" cy="4544695"/>
            <wp:effectExtent l="0" t="0" r="11430" b="8255"/>
            <wp:docPr id="98787124" name="Diagramm 1">
              <a:extLst xmlns:a="http://schemas.openxmlformats.org/drawingml/2006/main">
                <a:ext uri="{FF2B5EF4-FFF2-40B4-BE49-F238E27FC236}">
                  <a16:creationId xmlns:a16="http://schemas.microsoft.com/office/drawing/2014/main" id="{35245D6D-4764-CDA9-30F7-0DE7D83DAA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E1E437B" w14:textId="77777777" w:rsidR="00B731C3" w:rsidRDefault="00B731C3" w:rsidP="00B731C3">
      <w:pPr>
        <w:pStyle w:val="muudetavtekst"/>
        <w:rPr>
          <w:rFonts w:asciiTheme="minorHAnsi" w:hAnsiTheme="minorHAnsi" w:cstheme="minorBidi"/>
        </w:rPr>
      </w:pPr>
      <w:r>
        <w:rPr>
          <w:rFonts w:asciiTheme="minorHAnsi" w:hAnsiTheme="minorHAnsi" w:cstheme="minorBidi"/>
        </w:rPr>
        <w:t>Joonis 2.</w:t>
      </w:r>
      <w:r w:rsidRPr="57490200">
        <w:rPr>
          <w:rFonts w:asciiTheme="minorHAnsi" w:hAnsiTheme="minorHAnsi" w:cstheme="minorBidi"/>
        </w:rPr>
        <w:t xml:space="preserve"> on kajastatud energiasäästu kohaldamise kohustus avaliku sektorile.</w:t>
      </w:r>
    </w:p>
    <w:p w14:paraId="5A0F987A" w14:textId="77777777" w:rsidR="00B731C3" w:rsidRDefault="00B731C3" w:rsidP="00B731C3">
      <w:pPr>
        <w:pStyle w:val="muudetavtekst"/>
        <w:rPr>
          <w:rFonts w:asciiTheme="minorHAnsi" w:hAnsiTheme="minorHAnsi" w:cstheme="minorHAnsi"/>
        </w:rPr>
      </w:pPr>
    </w:p>
    <w:p w14:paraId="23597583" w14:textId="77777777" w:rsidR="00B731C3" w:rsidRDefault="00B731C3" w:rsidP="00B731C3">
      <w:pPr>
        <w:pStyle w:val="muudetavtekst"/>
        <w:rPr>
          <w:rFonts w:asciiTheme="minorHAnsi" w:hAnsiTheme="minorHAnsi" w:cstheme="minorBidi"/>
        </w:rPr>
      </w:pPr>
      <w:r w:rsidRPr="57490200">
        <w:rPr>
          <w:rFonts w:asciiTheme="minorHAnsi" w:hAnsiTheme="minorHAnsi" w:cstheme="minorBidi"/>
        </w:rPr>
        <w:t>Keskvalitsuse ja suuremate linnade hinnanguline baasaasta tarbimine on ~</w:t>
      </w:r>
      <w:r>
        <w:rPr>
          <w:rFonts w:asciiTheme="minorHAnsi" w:hAnsiTheme="minorHAnsi" w:cstheme="minorBidi"/>
        </w:rPr>
        <w:t xml:space="preserve"> </w:t>
      </w:r>
      <w:r w:rsidRPr="57490200">
        <w:rPr>
          <w:rFonts w:asciiTheme="minorHAnsi" w:hAnsiTheme="minorHAnsi" w:cstheme="minorBidi"/>
        </w:rPr>
        <w:t>1512 GWh, millest iga</w:t>
      </w:r>
      <w:r>
        <w:rPr>
          <w:rFonts w:asciiTheme="minorHAnsi" w:hAnsiTheme="minorHAnsi" w:cstheme="minorBidi"/>
        </w:rPr>
        <w:t>-</w:t>
      </w:r>
      <w:r w:rsidRPr="57490200">
        <w:rPr>
          <w:rFonts w:asciiTheme="minorHAnsi" w:hAnsiTheme="minorHAnsi" w:cstheme="minorBidi"/>
        </w:rPr>
        <w:t>aastane 1,9% kokkuhoid (kohustus grupi peale kokku säästa aastas) on ~</w:t>
      </w:r>
      <w:r>
        <w:rPr>
          <w:rFonts w:asciiTheme="minorHAnsi" w:hAnsiTheme="minorHAnsi" w:cstheme="minorBidi"/>
        </w:rPr>
        <w:t xml:space="preserve"> </w:t>
      </w:r>
      <w:r w:rsidRPr="57490200">
        <w:rPr>
          <w:rFonts w:asciiTheme="minorHAnsi" w:hAnsiTheme="minorHAnsi" w:cstheme="minorBidi"/>
        </w:rPr>
        <w:t>28 GWh.</w:t>
      </w:r>
    </w:p>
    <w:p w14:paraId="39FDD95D" w14:textId="77777777" w:rsidR="00B731C3" w:rsidRDefault="00B731C3" w:rsidP="00B731C3">
      <w:pPr>
        <w:pStyle w:val="muudetavtekst"/>
        <w:rPr>
          <w:rFonts w:asciiTheme="minorHAnsi" w:hAnsiTheme="minorHAnsi" w:cstheme="minorBidi"/>
        </w:rPr>
      </w:pPr>
      <w:r w:rsidRPr="57490200">
        <w:rPr>
          <w:rFonts w:asciiTheme="minorHAnsi" w:hAnsiTheme="minorHAnsi" w:cstheme="minorBidi"/>
        </w:rPr>
        <w:t>Keskmise suurusega KOVide hinnanguline baasaasta tarbimine on ~</w:t>
      </w:r>
      <w:r>
        <w:rPr>
          <w:rFonts w:asciiTheme="minorHAnsi" w:hAnsiTheme="minorHAnsi" w:cstheme="minorBidi"/>
        </w:rPr>
        <w:t xml:space="preserve"> </w:t>
      </w:r>
      <w:r w:rsidRPr="57490200">
        <w:rPr>
          <w:rFonts w:asciiTheme="minorHAnsi" w:hAnsiTheme="minorHAnsi" w:cstheme="minorBidi"/>
        </w:rPr>
        <w:t>630 GWh, millest iga</w:t>
      </w:r>
      <w:r>
        <w:rPr>
          <w:rFonts w:asciiTheme="minorHAnsi" w:hAnsiTheme="minorHAnsi" w:cstheme="minorBidi"/>
        </w:rPr>
        <w:t>-</w:t>
      </w:r>
      <w:r w:rsidRPr="57490200">
        <w:rPr>
          <w:rFonts w:asciiTheme="minorHAnsi" w:hAnsiTheme="minorHAnsi" w:cstheme="minorBidi"/>
        </w:rPr>
        <w:t>aastane 1,9% kokkuhoid (</w:t>
      </w:r>
      <w:r>
        <w:rPr>
          <w:rFonts w:asciiTheme="minorHAnsi" w:hAnsiTheme="minorHAnsi" w:cstheme="minorBidi"/>
        </w:rPr>
        <w:t>säästu</w:t>
      </w:r>
      <w:r w:rsidRPr="57490200">
        <w:rPr>
          <w:rFonts w:asciiTheme="minorHAnsi" w:hAnsiTheme="minorHAnsi" w:cstheme="minorBidi"/>
        </w:rPr>
        <w:t xml:space="preserve">kohustus </w:t>
      </w:r>
      <w:r>
        <w:rPr>
          <w:rFonts w:asciiTheme="minorHAnsi" w:hAnsiTheme="minorHAnsi" w:cstheme="minorBidi"/>
        </w:rPr>
        <w:t>selle rühma</w:t>
      </w:r>
      <w:r w:rsidRPr="57490200">
        <w:rPr>
          <w:rFonts w:asciiTheme="minorHAnsi" w:hAnsiTheme="minorHAnsi" w:cstheme="minorBidi"/>
        </w:rPr>
        <w:t xml:space="preserve"> peale kokku aastas) on ~</w:t>
      </w:r>
      <w:r>
        <w:rPr>
          <w:rFonts w:asciiTheme="minorHAnsi" w:hAnsiTheme="minorHAnsi" w:cstheme="minorBidi"/>
        </w:rPr>
        <w:t xml:space="preserve"> </w:t>
      </w:r>
      <w:r w:rsidRPr="57490200">
        <w:rPr>
          <w:rFonts w:asciiTheme="minorHAnsi" w:hAnsiTheme="minorHAnsi" w:cstheme="minorBidi"/>
        </w:rPr>
        <w:t>11 GWh. Väikeste KOVide hinnanguline baasaasta tarbimine on ~</w:t>
      </w:r>
      <w:r>
        <w:rPr>
          <w:rFonts w:asciiTheme="minorHAnsi" w:hAnsiTheme="minorHAnsi" w:cstheme="minorBidi"/>
        </w:rPr>
        <w:t xml:space="preserve"> </w:t>
      </w:r>
      <w:r w:rsidRPr="57490200">
        <w:rPr>
          <w:rFonts w:asciiTheme="minorHAnsi" w:hAnsiTheme="minorHAnsi" w:cstheme="minorBidi"/>
        </w:rPr>
        <w:t>57 GWh, millest iga</w:t>
      </w:r>
      <w:r>
        <w:rPr>
          <w:rFonts w:asciiTheme="minorHAnsi" w:hAnsiTheme="minorHAnsi" w:cstheme="minorBidi"/>
        </w:rPr>
        <w:t>-</w:t>
      </w:r>
      <w:r w:rsidRPr="57490200">
        <w:rPr>
          <w:rFonts w:asciiTheme="minorHAnsi" w:hAnsiTheme="minorHAnsi" w:cstheme="minorBidi"/>
        </w:rPr>
        <w:t>aastane kokkuhoid on 1,9% on ~</w:t>
      </w:r>
      <w:r>
        <w:rPr>
          <w:rFonts w:asciiTheme="minorHAnsi" w:hAnsiTheme="minorHAnsi" w:cstheme="minorBidi"/>
        </w:rPr>
        <w:t xml:space="preserve"> </w:t>
      </w:r>
      <w:r w:rsidRPr="57490200">
        <w:rPr>
          <w:rFonts w:asciiTheme="minorHAnsi" w:hAnsiTheme="minorHAnsi" w:cstheme="minorBidi"/>
        </w:rPr>
        <w:t xml:space="preserve">1 GWh/a. </w:t>
      </w:r>
      <w:r>
        <w:rPr>
          <w:rFonts w:asciiTheme="minorHAnsi" w:hAnsiTheme="minorHAnsi" w:cstheme="minorBidi"/>
        </w:rPr>
        <w:t>K</w:t>
      </w:r>
      <w:r w:rsidRPr="57490200">
        <w:rPr>
          <w:rFonts w:asciiTheme="minorHAnsi" w:hAnsiTheme="minorHAnsi" w:cstheme="minorBidi"/>
        </w:rPr>
        <w:t>okkuhoid tuleb saavutada iga</w:t>
      </w:r>
      <w:r>
        <w:rPr>
          <w:rFonts w:asciiTheme="minorHAnsi" w:hAnsiTheme="minorHAnsi" w:cstheme="minorBidi"/>
        </w:rPr>
        <w:t xml:space="preserve">l </w:t>
      </w:r>
      <w:r w:rsidRPr="57490200">
        <w:rPr>
          <w:rFonts w:asciiTheme="minorHAnsi" w:hAnsiTheme="minorHAnsi" w:cstheme="minorBidi"/>
        </w:rPr>
        <w:t>aasta</w:t>
      </w:r>
      <w:r>
        <w:rPr>
          <w:rFonts w:asciiTheme="minorHAnsi" w:hAnsiTheme="minorHAnsi" w:cstheme="minorBidi"/>
        </w:rPr>
        <w:t>l.</w:t>
      </w:r>
    </w:p>
    <w:p w14:paraId="5A889628" w14:textId="77777777" w:rsidR="00B731C3" w:rsidRDefault="00B731C3" w:rsidP="00B731C3">
      <w:pPr>
        <w:pStyle w:val="muudetavtekst"/>
        <w:rPr>
          <w:rFonts w:asciiTheme="minorHAnsi" w:hAnsiTheme="minorHAnsi" w:cstheme="minorHAnsi"/>
        </w:rPr>
      </w:pPr>
    </w:p>
    <w:p w14:paraId="44F56069" w14:textId="77777777" w:rsidR="00B731C3" w:rsidRDefault="00B731C3" w:rsidP="00B731C3">
      <w:pPr>
        <w:pStyle w:val="muudetavtekst"/>
        <w:rPr>
          <w:rFonts w:asciiTheme="minorHAnsi" w:hAnsiTheme="minorHAnsi" w:cstheme="minorBidi"/>
        </w:rPr>
      </w:pPr>
      <w:r w:rsidRPr="57490200">
        <w:rPr>
          <w:rFonts w:asciiTheme="minorHAnsi" w:hAnsiTheme="minorHAnsi" w:cstheme="minorBidi"/>
        </w:rPr>
        <w:t>Energiasäästu kohustus ei rakendu avaliku sektori omandis oleva ühistranspordi veeremile (bussid, trammid, rongid ja parvlaevad), kuid rakendub taristule, sest taristu energiatarbimise vähendamine on pikaajalisem kui veerem. Samuti on kliimaeesmärkide täitmiseks  ühistransport mõjusam kui isikliku auto omamine. Seetõttu selles sektoris energiasäästu kohustust ei ole, küll aga saab seal saavutatava</w:t>
      </w:r>
      <w:r>
        <w:rPr>
          <w:rFonts w:asciiTheme="minorHAnsi" w:hAnsiTheme="minorHAnsi" w:cstheme="minorBidi"/>
        </w:rPr>
        <w:t>t</w:t>
      </w:r>
      <w:r w:rsidRPr="57490200">
        <w:rPr>
          <w:rFonts w:asciiTheme="minorHAnsi" w:hAnsiTheme="minorHAnsi" w:cstheme="minorBidi"/>
        </w:rPr>
        <w:t xml:space="preserve"> energiasäästu </w:t>
      </w:r>
      <w:r>
        <w:rPr>
          <w:rFonts w:asciiTheme="minorHAnsi" w:hAnsiTheme="minorHAnsi" w:cstheme="minorBidi"/>
        </w:rPr>
        <w:t xml:space="preserve">võtta </w:t>
      </w:r>
      <w:r w:rsidRPr="57490200">
        <w:rPr>
          <w:rFonts w:asciiTheme="minorHAnsi" w:hAnsiTheme="minorHAnsi" w:cstheme="minorBidi"/>
        </w:rPr>
        <w:t>aastal 2030 arvesse arvutustes.</w:t>
      </w:r>
    </w:p>
    <w:p w14:paraId="14807ADB" w14:textId="77777777" w:rsidR="00B731C3" w:rsidRDefault="00B731C3" w:rsidP="00B731C3">
      <w:pPr>
        <w:pStyle w:val="muudetavtekst"/>
        <w:rPr>
          <w:rFonts w:asciiTheme="minorHAnsi" w:hAnsiTheme="minorHAnsi" w:cstheme="minorBidi"/>
        </w:rPr>
      </w:pPr>
      <w:r w:rsidRPr="3CD4651F">
        <w:rPr>
          <w:rFonts w:asciiTheme="minorHAnsi" w:hAnsiTheme="minorHAnsi" w:cstheme="minorBidi"/>
        </w:rPr>
        <w:t>Samuti ei rakendu energiasäästu kohustus relvajõududele (Kaitseministeeriumi ja Kaitseliidu haldusala), kuid ka seal saavutatav energiasääst on võimalik 2030. aastal arvesse võtta.</w:t>
      </w:r>
      <w:r>
        <w:rPr>
          <w:rFonts w:asciiTheme="minorHAnsi" w:hAnsiTheme="minorHAnsi" w:cstheme="minorBidi"/>
        </w:rPr>
        <w:t xml:space="preserve"> </w:t>
      </w:r>
      <w:r w:rsidRPr="57490200">
        <w:rPr>
          <w:rFonts w:asciiTheme="minorHAnsi" w:hAnsiTheme="minorHAnsi" w:cstheme="minorBidi"/>
        </w:rPr>
        <w:t>Kaitseministeerium on loonud oma kliimastrateegia</w:t>
      </w:r>
      <w:r w:rsidRPr="57490200">
        <w:rPr>
          <w:rStyle w:val="Allmrkuseviide"/>
          <w:rFonts w:asciiTheme="minorHAnsi" w:hAnsiTheme="minorHAnsi" w:cstheme="minorBidi"/>
        </w:rPr>
        <w:footnoteReference w:id="29"/>
      </w:r>
      <w:r w:rsidRPr="57490200">
        <w:rPr>
          <w:rFonts w:asciiTheme="minorHAnsi" w:hAnsiTheme="minorHAnsi" w:cstheme="minorBidi"/>
        </w:rPr>
        <w:t>, mille üks eesmär</w:t>
      </w:r>
      <w:r>
        <w:rPr>
          <w:rFonts w:asciiTheme="minorHAnsi" w:hAnsiTheme="minorHAnsi" w:cstheme="minorBidi"/>
        </w:rPr>
        <w:t>ke</w:t>
      </w:r>
      <w:r w:rsidRPr="57490200">
        <w:rPr>
          <w:rFonts w:asciiTheme="minorHAnsi" w:hAnsiTheme="minorHAnsi" w:cstheme="minorBidi"/>
        </w:rPr>
        <w:t xml:space="preserve"> on suurendada 2030. aastaks ehitiste energiatõhusust 5%</w:t>
      </w:r>
      <w:r>
        <w:rPr>
          <w:rFonts w:asciiTheme="minorHAnsi" w:hAnsiTheme="minorHAnsi" w:cstheme="minorBidi"/>
        </w:rPr>
        <w:t xml:space="preserve"> ning selle</w:t>
      </w:r>
      <w:r w:rsidRPr="57490200">
        <w:rPr>
          <w:rFonts w:asciiTheme="minorHAnsi" w:hAnsiTheme="minorHAnsi" w:cstheme="minorBidi"/>
        </w:rPr>
        <w:t xml:space="preserve"> saab arvesse võtta.</w:t>
      </w:r>
      <w:r>
        <w:rPr>
          <w:rFonts w:asciiTheme="minorHAnsi" w:hAnsiTheme="minorHAnsi" w:cstheme="minorBidi"/>
        </w:rPr>
        <w:t xml:space="preserve"> </w:t>
      </w:r>
      <w:r w:rsidRPr="00D1466A">
        <w:rPr>
          <w:rFonts w:asciiTheme="minorHAnsi" w:hAnsiTheme="minorHAnsi" w:cstheme="minorBidi"/>
        </w:rPr>
        <w:t>Arvestades, et relvajõudude investeeringud lähiaastatel kasvavad</w:t>
      </w:r>
      <w:r>
        <w:rPr>
          <w:rFonts w:asciiTheme="minorHAnsi" w:hAnsiTheme="minorHAnsi" w:cstheme="minorBidi"/>
        </w:rPr>
        <w:t xml:space="preserve"> (NATO liikmesriikide kokkulepe tõsta kaitsekulusid 5% riigi SKP-st)</w:t>
      </w:r>
      <w:r w:rsidRPr="00D1466A">
        <w:rPr>
          <w:rFonts w:asciiTheme="minorHAnsi" w:hAnsiTheme="minorHAnsi" w:cstheme="minorBidi"/>
        </w:rPr>
        <w:t xml:space="preserve"> ning osaliselt võib suunata vahendeid ka taristusse, siis on mõistlik kaaluda ka </w:t>
      </w:r>
      <w:r>
        <w:rPr>
          <w:rFonts w:asciiTheme="minorHAnsi" w:hAnsiTheme="minorHAnsi" w:cstheme="minorBidi"/>
        </w:rPr>
        <w:t>energia</w:t>
      </w:r>
      <w:r w:rsidRPr="00D1466A">
        <w:rPr>
          <w:rFonts w:asciiTheme="minorHAnsi" w:hAnsiTheme="minorHAnsi" w:cstheme="minorBidi"/>
        </w:rPr>
        <w:t>tõhususse suunatavaid investeeringuid hoonete rekonstrueerimisel, tõhustamisel, et energiasäästu 2030 ambitsioonikaid eesmärke saavutada.</w:t>
      </w:r>
    </w:p>
    <w:p w14:paraId="1FF5EDD1" w14:textId="77777777" w:rsidR="00B731C3" w:rsidRDefault="00B731C3" w:rsidP="00B731C3">
      <w:pPr>
        <w:pStyle w:val="muudetavtekst"/>
        <w:rPr>
          <w:rFonts w:asciiTheme="minorHAnsi" w:hAnsiTheme="minorHAnsi" w:cstheme="minorHAnsi"/>
        </w:rPr>
      </w:pPr>
    </w:p>
    <w:p w14:paraId="38B11EA1" w14:textId="77777777" w:rsidR="00B731C3" w:rsidRDefault="00B731C3" w:rsidP="00B731C3">
      <w:pPr>
        <w:pStyle w:val="muudetavtekst"/>
        <w:rPr>
          <w:rFonts w:asciiTheme="minorHAnsi" w:hAnsiTheme="minorHAnsi" w:cstheme="minorHAnsi"/>
          <w:u w:val="single"/>
        </w:rPr>
      </w:pPr>
      <w:r>
        <w:rPr>
          <w:rFonts w:asciiTheme="minorHAnsi" w:hAnsiTheme="minorHAnsi" w:cstheme="minorHAnsi"/>
          <w:u w:val="single"/>
        </w:rPr>
        <w:t>Avaliku sektori asutuste energiatarbimise seiresüsteem.</w:t>
      </w:r>
    </w:p>
    <w:p w14:paraId="7DF0C6B3" w14:textId="77777777" w:rsidR="00B731C3" w:rsidRDefault="00B731C3" w:rsidP="00B731C3">
      <w:pPr>
        <w:pStyle w:val="muudetavtekst"/>
        <w:rPr>
          <w:rFonts w:asciiTheme="minorHAnsi" w:hAnsiTheme="minorHAnsi" w:cstheme="minorBidi"/>
        </w:rPr>
      </w:pPr>
      <w:r w:rsidRPr="57490200">
        <w:rPr>
          <w:rFonts w:asciiTheme="minorHAnsi" w:hAnsiTheme="minorHAnsi" w:cstheme="minorBidi"/>
        </w:rPr>
        <w:t>Oluline on teada, et energiatarbimise</w:t>
      </w:r>
      <w:r>
        <w:rPr>
          <w:rFonts w:asciiTheme="minorHAnsi" w:hAnsiTheme="minorHAnsi" w:cstheme="minorBidi"/>
        </w:rPr>
        <w:t xml:space="preserve"> </w:t>
      </w:r>
      <w:r w:rsidRPr="57490200">
        <w:rPr>
          <w:rFonts w:asciiTheme="minorHAnsi" w:hAnsiTheme="minorHAnsi" w:cstheme="minorBidi"/>
        </w:rPr>
        <w:t xml:space="preserve">baastase on </w:t>
      </w:r>
      <w:r>
        <w:rPr>
          <w:rFonts w:asciiTheme="minorHAnsi" w:hAnsiTheme="minorHAnsi" w:cstheme="minorBidi"/>
        </w:rPr>
        <w:t>arvutatud</w:t>
      </w:r>
      <w:r w:rsidRPr="57490200">
        <w:rPr>
          <w:rFonts w:asciiTheme="minorHAnsi" w:hAnsiTheme="minorHAnsi" w:cstheme="minorBidi"/>
        </w:rPr>
        <w:t xml:space="preserve"> küll parimal teadmisel, kuid siiski </w:t>
      </w:r>
      <w:r>
        <w:rPr>
          <w:rFonts w:asciiTheme="minorHAnsi" w:hAnsiTheme="minorHAnsi" w:cstheme="minorBidi"/>
        </w:rPr>
        <w:t>mõneti</w:t>
      </w:r>
      <w:r w:rsidRPr="57490200">
        <w:rPr>
          <w:rFonts w:asciiTheme="minorHAnsi" w:hAnsiTheme="minorHAnsi" w:cstheme="minorBidi"/>
        </w:rPr>
        <w:t xml:space="preserve"> hinnanguline. Ka</w:t>
      </w:r>
      <w:r>
        <w:rPr>
          <w:rFonts w:asciiTheme="minorHAnsi" w:hAnsiTheme="minorHAnsi" w:cstheme="minorBidi"/>
        </w:rPr>
        <w:t xml:space="preserve"> </w:t>
      </w:r>
      <w:r w:rsidRPr="57490200">
        <w:rPr>
          <w:rFonts w:asciiTheme="minorHAnsi" w:hAnsiTheme="minorHAnsi" w:cstheme="minorBidi"/>
        </w:rPr>
        <w:t>kokkuhoiu arvestamine</w:t>
      </w:r>
      <w:r>
        <w:rPr>
          <w:rFonts w:asciiTheme="minorHAnsi" w:hAnsiTheme="minorHAnsi" w:cstheme="minorBidi"/>
        </w:rPr>
        <w:t xml:space="preserve"> </w:t>
      </w:r>
      <w:r w:rsidRPr="57490200">
        <w:rPr>
          <w:rFonts w:asciiTheme="minorHAnsi" w:hAnsiTheme="minorHAnsi" w:cstheme="minorBidi"/>
        </w:rPr>
        <w:t>2026. aastal tugineb arvutusel, mis on saadud finantskulu ja energia keskmise hinna järgi.</w:t>
      </w:r>
      <w:r>
        <w:rPr>
          <w:rFonts w:asciiTheme="minorHAnsi" w:hAnsiTheme="minorHAnsi" w:cstheme="minorBidi"/>
        </w:rPr>
        <w:t xml:space="preserve"> </w:t>
      </w:r>
      <w:r w:rsidRPr="57490200">
        <w:rPr>
          <w:rFonts w:asciiTheme="minorHAnsi" w:hAnsiTheme="minorHAnsi" w:cstheme="minorBidi"/>
        </w:rPr>
        <w:t xml:space="preserve">Hiljemalt 11.10.2027 tekib </w:t>
      </w:r>
      <w:r>
        <w:rPr>
          <w:rFonts w:asciiTheme="minorHAnsi" w:hAnsiTheme="minorHAnsi" w:cstheme="minorBidi"/>
        </w:rPr>
        <w:t>riigil</w:t>
      </w:r>
      <w:r w:rsidRPr="57490200">
        <w:rPr>
          <w:rFonts w:asciiTheme="minorHAnsi" w:hAnsiTheme="minorHAnsi" w:cstheme="minorBidi"/>
        </w:rPr>
        <w:t xml:space="preserve"> kohustus jälgida energia tegelikku tarbimist. Selleks tuleb avaliku sektori asutuste energiatõhususe koordinaatoril (TTJA) üles ehitada seiresüsteem.</w:t>
      </w:r>
    </w:p>
    <w:p w14:paraId="1903B46B" w14:textId="77777777" w:rsidR="00B731C3" w:rsidRDefault="00B731C3" w:rsidP="00B731C3">
      <w:pPr>
        <w:pStyle w:val="muudetavtekst"/>
        <w:rPr>
          <w:rFonts w:asciiTheme="minorHAnsi" w:hAnsiTheme="minorHAnsi" w:cstheme="minorBidi"/>
        </w:rPr>
      </w:pPr>
      <w:r w:rsidRPr="57490200">
        <w:rPr>
          <w:rFonts w:asciiTheme="minorHAnsi" w:hAnsiTheme="minorHAnsi" w:cstheme="minorBidi"/>
        </w:rPr>
        <w:t>Kuna peamine energiakasutus on seotud eelkõige kinnisvaraga (hooned), siis seiresüsteemile aitab kaasa käimasolev Riigikantselei ja Kliimaministeeriumi innovatsiooniprojekt</w:t>
      </w:r>
      <w:r>
        <w:rPr>
          <w:rFonts w:asciiTheme="minorHAnsi" w:hAnsiTheme="minorHAnsi" w:cstheme="minorBidi"/>
        </w:rPr>
        <w:t>.</w:t>
      </w:r>
      <w:r w:rsidRPr="57490200">
        <w:rPr>
          <w:rStyle w:val="Allmrkuseviide"/>
          <w:rFonts w:asciiTheme="minorHAnsi" w:hAnsiTheme="minorHAnsi" w:cstheme="minorBidi"/>
        </w:rPr>
        <w:footnoteReference w:id="30"/>
      </w:r>
      <w:r w:rsidRPr="57490200">
        <w:rPr>
          <w:rStyle w:val="Allmrkuseviide"/>
          <w:rFonts w:asciiTheme="minorHAnsi" w:hAnsiTheme="minorHAnsi" w:cstheme="minorBidi"/>
        </w:rPr>
        <w:t>.</w:t>
      </w:r>
      <w:r w:rsidRPr="57490200">
        <w:rPr>
          <w:rFonts w:asciiTheme="minorHAnsi" w:hAnsiTheme="minorHAnsi" w:cstheme="minorBidi"/>
        </w:rPr>
        <w:t>Projekti eesmärk on välja selgitada võimalused võrguühendusega hoonete (enamik avaliku sektori hoonetest) energiatarbimise</w:t>
      </w:r>
      <w:r>
        <w:rPr>
          <w:rFonts w:asciiTheme="minorHAnsi" w:hAnsiTheme="minorHAnsi" w:cstheme="minorBidi"/>
        </w:rPr>
        <w:t xml:space="preserve"> </w:t>
      </w:r>
      <w:r w:rsidRPr="57490200">
        <w:rPr>
          <w:rFonts w:asciiTheme="minorHAnsi" w:hAnsiTheme="minorHAnsi" w:cstheme="minorBidi"/>
        </w:rPr>
        <w:t>andmete automaatseks kogumiseks sagedusega vähemalt kor</w:t>
      </w:r>
      <w:r>
        <w:rPr>
          <w:rFonts w:asciiTheme="minorHAnsi" w:hAnsiTheme="minorHAnsi" w:cstheme="minorBidi"/>
        </w:rPr>
        <w:t>d</w:t>
      </w:r>
      <w:r w:rsidRPr="57490200">
        <w:rPr>
          <w:rFonts w:asciiTheme="minorHAnsi" w:hAnsiTheme="minorHAnsi" w:cstheme="minorBidi"/>
        </w:rPr>
        <w:t xml:space="preserve"> aastas.</w:t>
      </w:r>
    </w:p>
    <w:p w14:paraId="3E2D3C38" w14:textId="77777777" w:rsidR="00B731C3" w:rsidRDefault="00B731C3" w:rsidP="00B731C3">
      <w:pPr>
        <w:pStyle w:val="muudetavtekst"/>
        <w:rPr>
          <w:rFonts w:asciiTheme="minorHAnsi" w:hAnsiTheme="minorHAnsi" w:cstheme="minorBidi"/>
        </w:rPr>
      </w:pPr>
      <w:r w:rsidRPr="57490200">
        <w:rPr>
          <w:rFonts w:asciiTheme="minorHAnsi" w:hAnsiTheme="minorHAnsi" w:cstheme="minorBidi"/>
        </w:rPr>
        <w:t xml:space="preserve">Lisaks </w:t>
      </w:r>
      <w:r>
        <w:rPr>
          <w:rFonts w:asciiTheme="minorHAnsi" w:hAnsiTheme="minorHAnsi" w:cstheme="minorBidi"/>
        </w:rPr>
        <w:t xml:space="preserve">tuleb </w:t>
      </w:r>
      <w:r w:rsidRPr="57490200">
        <w:rPr>
          <w:rFonts w:asciiTheme="minorHAnsi" w:hAnsiTheme="minorHAnsi" w:cstheme="minorBidi"/>
        </w:rPr>
        <w:t>analüüsi</w:t>
      </w:r>
      <w:r>
        <w:rPr>
          <w:rFonts w:asciiTheme="minorHAnsi" w:hAnsiTheme="minorHAnsi" w:cstheme="minorBidi"/>
        </w:rPr>
        <w:t>da võimaliku</w:t>
      </w:r>
      <w:r w:rsidRPr="57490200">
        <w:rPr>
          <w:rFonts w:asciiTheme="minorHAnsi" w:hAnsiTheme="minorHAnsi" w:cstheme="minorBidi"/>
        </w:rPr>
        <w:t xml:space="preserve"> lahendusena riigiraha.fin.ee platvormi kasutamist, missugustel tingimustel on lisaks energiaarvelt loetavale energiakulule võimalik saada kätte ka energiakogused (kWh). Suurimaks väljakutseks näeme transpordikütuste tarbimisandmete kättesaamist, </w:t>
      </w:r>
      <w:r>
        <w:rPr>
          <w:rFonts w:asciiTheme="minorHAnsi" w:hAnsiTheme="minorHAnsi" w:cstheme="minorBidi"/>
        </w:rPr>
        <w:t xml:space="preserve">milleks </w:t>
      </w:r>
      <w:r w:rsidRPr="57490200">
        <w:rPr>
          <w:rFonts w:asciiTheme="minorHAnsi" w:hAnsiTheme="minorHAnsi" w:cstheme="minorBidi"/>
        </w:rPr>
        <w:t>võib heaks võimaluseks olla reaalajamajanduse</w:t>
      </w:r>
      <w:r w:rsidRPr="57490200">
        <w:rPr>
          <w:rStyle w:val="Allmrkuseviide"/>
          <w:rFonts w:asciiTheme="minorHAnsi" w:hAnsiTheme="minorHAnsi" w:cstheme="minorBidi"/>
        </w:rPr>
        <w:footnoteReference w:id="31"/>
      </w:r>
      <w:r w:rsidRPr="57490200">
        <w:rPr>
          <w:rFonts w:asciiTheme="minorHAnsi" w:hAnsiTheme="minorHAnsi" w:cstheme="minorBidi"/>
        </w:rPr>
        <w:t xml:space="preserve"> andmepõhine aruandlus.</w:t>
      </w:r>
    </w:p>
    <w:p w14:paraId="686C17E4" w14:textId="77777777" w:rsidR="00B731C3" w:rsidRDefault="00B731C3" w:rsidP="00B731C3">
      <w:pPr>
        <w:pStyle w:val="muudetavtekst"/>
        <w:rPr>
          <w:rFonts w:asciiTheme="minorHAnsi" w:hAnsiTheme="minorHAnsi" w:cstheme="minorBidi"/>
        </w:rPr>
      </w:pPr>
    </w:p>
    <w:p w14:paraId="15DD8715" w14:textId="77777777" w:rsidR="00B731C3" w:rsidRDefault="00B731C3" w:rsidP="00B731C3">
      <w:pPr>
        <w:pStyle w:val="muudetavtekst"/>
        <w:rPr>
          <w:rFonts w:asciiTheme="minorHAnsi" w:hAnsiTheme="minorHAnsi" w:cstheme="minorBidi"/>
        </w:rPr>
      </w:pPr>
      <w:r>
        <w:rPr>
          <w:rFonts w:asciiTheme="minorHAnsi" w:hAnsiTheme="minorHAnsi" w:cstheme="minorBidi"/>
        </w:rPr>
        <w:t xml:space="preserve">Avaliku sektori asutuste energiatõhususe koordinaartori ülesanne on koostada esmalt ärianalüüs ning seejärel luua </w:t>
      </w:r>
      <w:r w:rsidRPr="001125E4">
        <w:rPr>
          <w:rFonts w:asciiTheme="minorHAnsi" w:hAnsiTheme="minorHAnsi" w:cstheme="minorBidi"/>
        </w:rPr>
        <w:t>seiresüsteem. Selle eeldatav kulu on 350 000 eurot aastani 2029.</w:t>
      </w:r>
    </w:p>
    <w:p w14:paraId="6E93F0C4" w14:textId="77777777" w:rsidR="00B731C3" w:rsidRDefault="00B731C3" w:rsidP="00B731C3">
      <w:pPr>
        <w:pStyle w:val="muudetavtekst"/>
        <w:rPr>
          <w:rFonts w:asciiTheme="minorHAnsi" w:hAnsiTheme="minorHAnsi" w:cstheme="minorHAnsi"/>
        </w:rPr>
      </w:pPr>
    </w:p>
    <w:p w14:paraId="3C887BA0" w14:textId="77777777" w:rsidR="00B731C3" w:rsidRPr="004B6B3F" w:rsidRDefault="00B731C3" w:rsidP="00B731C3">
      <w:pPr>
        <w:pStyle w:val="muudetavtekst"/>
        <w:rPr>
          <w:rFonts w:asciiTheme="minorHAnsi" w:hAnsiTheme="minorHAnsi" w:cstheme="minorBidi"/>
          <w:u w:val="single"/>
        </w:rPr>
      </w:pPr>
      <w:r w:rsidRPr="57490200">
        <w:rPr>
          <w:rFonts w:asciiTheme="minorHAnsi" w:hAnsiTheme="minorHAnsi" w:cstheme="minorBidi"/>
          <w:u w:val="single"/>
        </w:rPr>
        <w:t>Leevendused energiatarbe arvutuse metoodikas.</w:t>
      </w:r>
    </w:p>
    <w:p w14:paraId="5AFB7CAB" w14:textId="77777777" w:rsidR="00B731C3" w:rsidRDefault="00B731C3" w:rsidP="00B731C3">
      <w:pPr>
        <w:pStyle w:val="muudetavtekst"/>
        <w:rPr>
          <w:rFonts w:asciiTheme="minorHAnsi" w:hAnsiTheme="minorHAnsi" w:cstheme="minorBidi"/>
        </w:rPr>
      </w:pPr>
      <w:r w:rsidRPr="57490200">
        <w:rPr>
          <w:rFonts w:asciiTheme="minorHAnsi" w:hAnsiTheme="minorHAnsi" w:cstheme="minorBidi"/>
        </w:rPr>
        <w:t>Kuna aasta</w:t>
      </w:r>
      <w:r>
        <w:rPr>
          <w:rFonts w:asciiTheme="minorHAnsi" w:hAnsiTheme="minorHAnsi" w:cstheme="minorBidi"/>
        </w:rPr>
        <w:t>te</w:t>
      </w:r>
      <w:r w:rsidRPr="57490200">
        <w:rPr>
          <w:rFonts w:asciiTheme="minorHAnsi" w:hAnsiTheme="minorHAnsi" w:cstheme="minorBidi"/>
        </w:rPr>
        <w:t xml:space="preserve"> kli</w:t>
      </w:r>
      <w:r>
        <w:rPr>
          <w:rFonts w:asciiTheme="minorHAnsi" w:hAnsiTheme="minorHAnsi" w:cstheme="minorBidi"/>
        </w:rPr>
        <w:t xml:space="preserve">imatingimused on </w:t>
      </w:r>
      <w:r w:rsidRPr="57490200">
        <w:rPr>
          <w:rFonts w:asciiTheme="minorHAnsi" w:hAnsiTheme="minorHAnsi" w:cstheme="minorBidi"/>
        </w:rPr>
        <w:t>erinev</w:t>
      </w:r>
      <w:r>
        <w:rPr>
          <w:rFonts w:asciiTheme="minorHAnsi" w:hAnsiTheme="minorHAnsi" w:cstheme="minorBidi"/>
        </w:rPr>
        <w:t>ad</w:t>
      </w:r>
      <w:r w:rsidRPr="57490200">
        <w:rPr>
          <w:rFonts w:asciiTheme="minorHAnsi" w:hAnsiTheme="minorHAnsi" w:cstheme="minorBidi"/>
        </w:rPr>
        <w:t xml:space="preserve"> ja ka teenused, mida avaliku sektori asutused pakuvad</w:t>
      </w:r>
      <w:r>
        <w:rPr>
          <w:rFonts w:asciiTheme="minorHAnsi" w:hAnsiTheme="minorHAnsi" w:cstheme="minorBidi"/>
        </w:rPr>
        <w:t>,</w:t>
      </w:r>
      <w:r w:rsidRPr="57490200">
        <w:rPr>
          <w:rFonts w:asciiTheme="minorHAnsi" w:hAnsiTheme="minorHAnsi" w:cstheme="minorBidi"/>
        </w:rPr>
        <w:t xml:space="preserve"> võivad energiatarbimise mah</w:t>
      </w:r>
      <w:r>
        <w:rPr>
          <w:rFonts w:asciiTheme="minorHAnsi" w:hAnsiTheme="minorHAnsi" w:cstheme="minorBidi"/>
        </w:rPr>
        <w:t>tu</w:t>
      </w:r>
      <w:r w:rsidRPr="57490200">
        <w:rPr>
          <w:rFonts w:asciiTheme="minorHAnsi" w:hAnsiTheme="minorHAnsi" w:cstheme="minorBidi"/>
        </w:rPr>
        <w:t xml:space="preserve"> ajas kasva</w:t>
      </w:r>
      <w:r>
        <w:rPr>
          <w:rFonts w:asciiTheme="minorHAnsi" w:hAnsiTheme="minorHAnsi" w:cstheme="minorBidi"/>
        </w:rPr>
        <w:t>ta</w:t>
      </w:r>
      <w:r w:rsidRPr="57490200">
        <w:rPr>
          <w:rFonts w:asciiTheme="minorHAnsi" w:hAnsiTheme="minorHAnsi" w:cstheme="minorBidi"/>
        </w:rPr>
        <w:t>da või väheneda. Neid muutusi saab ja tuleb arvestada</w:t>
      </w:r>
      <w:r>
        <w:rPr>
          <w:rFonts w:asciiTheme="minorHAnsi" w:hAnsiTheme="minorHAnsi" w:cstheme="minorBidi"/>
        </w:rPr>
        <w:t>,</w:t>
      </w:r>
      <w:r w:rsidRPr="57490200">
        <w:rPr>
          <w:rFonts w:asciiTheme="minorHAnsi" w:hAnsiTheme="minorHAnsi" w:cstheme="minorBidi"/>
        </w:rPr>
        <w:t xml:space="preserve"> kui ehitatakse üles avaliku sektori asustuste seiresüsteem ja -plaan.</w:t>
      </w:r>
    </w:p>
    <w:p w14:paraId="7CEA9A43" w14:textId="77777777" w:rsidR="00B731C3" w:rsidRDefault="00B731C3" w:rsidP="00B731C3">
      <w:pPr>
        <w:pStyle w:val="muudetavtekst"/>
        <w:rPr>
          <w:rFonts w:asciiTheme="minorHAnsi" w:hAnsiTheme="minorHAnsi" w:cstheme="minorBidi"/>
        </w:rPr>
      </w:pPr>
      <w:r w:rsidRPr="57490200">
        <w:rPr>
          <w:rFonts w:asciiTheme="minorHAnsi" w:hAnsiTheme="minorHAnsi" w:cstheme="minorBidi"/>
        </w:rPr>
        <w:t>Avaliku sektori asutuste soojusenergia (küt</w:t>
      </w:r>
      <w:r>
        <w:rPr>
          <w:rFonts w:asciiTheme="minorHAnsi" w:hAnsiTheme="minorHAnsi" w:cstheme="minorBidi"/>
        </w:rPr>
        <w:t>t</w:t>
      </w:r>
      <w:r w:rsidRPr="57490200">
        <w:rPr>
          <w:rFonts w:asciiTheme="minorHAnsi" w:hAnsiTheme="minorHAnsi" w:cstheme="minorBidi"/>
        </w:rPr>
        <w:t>e) arvutuste</w:t>
      </w:r>
      <w:r>
        <w:rPr>
          <w:rFonts w:asciiTheme="minorHAnsi" w:hAnsiTheme="minorHAnsi" w:cstheme="minorBidi"/>
        </w:rPr>
        <w:t>s</w:t>
      </w:r>
      <w:r w:rsidRPr="57490200">
        <w:rPr>
          <w:rFonts w:asciiTheme="minorHAnsi" w:hAnsiTheme="minorHAnsi" w:cstheme="minorBidi"/>
        </w:rPr>
        <w:t xml:space="preserve"> saab arvesse võtta ka kl</w:t>
      </w:r>
      <w:r>
        <w:rPr>
          <w:rFonts w:asciiTheme="minorHAnsi" w:hAnsiTheme="minorHAnsi" w:cstheme="minorBidi"/>
        </w:rPr>
        <w:t>i</w:t>
      </w:r>
      <w:r w:rsidRPr="57490200">
        <w:rPr>
          <w:rFonts w:asciiTheme="minorHAnsi" w:hAnsiTheme="minorHAnsi" w:cstheme="minorBidi"/>
        </w:rPr>
        <w:t>imaerinevusi riigi piires ning arvestada sisse võimaliku soojusenergia kasvu mõju</w:t>
      </w:r>
      <w:r>
        <w:rPr>
          <w:rFonts w:asciiTheme="minorHAnsi" w:hAnsiTheme="minorHAnsi" w:cstheme="minorBidi"/>
        </w:rPr>
        <w:t>,</w:t>
      </w:r>
      <w:r w:rsidRPr="57490200">
        <w:rPr>
          <w:rFonts w:asciiTheme="minorHAnsi" w:hAnsiTheme="minorHAnsi" w:cstheme="minorBidi"/>
        </w:rPr>
        <w:t xml:space="preserve"> kui on näiteks erakordselt külm talv. Erisuste arvutamisel saab kasutada majandus</w:t>
      </w:r>
      <w:r>
        <w:rPr>
          <w:rFonts w:asciiTheme="minorHAnsi" w:hAnsiTheme="minorHAnsi" w:cstheme="minorBidi"/>
        </w:rPr>
        <w:t>-</w:t>
      </w:r>
      <w:r w:rsidRPr="57490200">
        <w:rPr>
          <w:rFonts w:asciiTheme="minorHAnsi" w:hAnsiTheme="minorHAnsi" w:cstheme="minorBidi"/>
        </w:rPr>
        <w:t xml:space="preserve"> ja taristuministri määruse nr 36 „Nõuded energiamärgise andmisele ja energiamärgisele</w:t>
      </w:r>
      <w:r w:rsidRPr="57490200">
        <w:rPr>
          <w:rFonts w:asciiTheme="minorHAnsi" w:hAnsiTheme="minorHAnsi" w:cstheme="minorBidi"/>
          <w:vertAlign w:val="superscript"/>
        </w:rPr>
        <w:t>1</w:t>
      </w:r>
      <w:r w:rsidRPr="57490200">
        <w:rPr>
          <w:rFonts w:asciiTheme="minorHAnsi" w:hAnsiTheme="minorHAnsi" w:cstheme="minorBidi"/>
        </w:rPr>
        <w:t>“</w:t>
      </w:r>
      <w:r w:rsidRPr="57490200">
        <w:rPr>
          <w:rStyle w:val="Allmrkuseviide"/>
          <w:rFonts w:asciiTheme="minorHAnsi" w:hAnsiTheme="minorHAnsi" w:cstheme="minorBidi"/>
        </w:rPr>
        <w:footnoteReference w:id="32"/>
      </w:r>
      <w:r w:rsidRPr="57490200">
        <w:rPr>
          <w:rFonts w:asciiTheme="minorHAnsi" w:hAnsiTheme="minorHAnsi" w:cstheme="minorBidi"/>
        </w:rPr>
        <w:t xml:space="preserve"> § 13 ja § 14 l</w:t>
      </w:r>
      <w:r>
        <w:rPr>
          <w:rFonts w:asciiTheme="minorHAnsi" w:hAnsiTheme="minorHAnsi" w:cstheme="minorBidi"/>
        </w:rPr>
        <w:t>õikes</w:t>
      </w:r>
      <w:r w:rsidRPr="57490200">
        <w:rPr>
          <w:rFonts w:asciiTheme="minorHAnsi" w:hAnsiTheme="minorHAnsi" w:cstheme="minorBidi"/>
        </w:rPr>
        <w:t xml:space="preserve"> 5 </w:t>
      </w:r>
      <w:r>
        <w:rPr>
          <w:rFonts w:asciiTheme="minorHAnsi" w:hAnsiTheme="minorHAnsi" w:cstheme="minorBidi"/>
        </w:rPr>
        <w:t>esitatud</w:t>
      </w:r>
      <w:r w:rsidRPr="57490200">
        <w:rPr>
          <w:rFonts w:asciiTheme="minorHAnsi" w:hAnsiTheme="minorHAnsi" w:cstheme="minorBidi"/>
        </w:rPr>
        <w:t xml:space="preserve"> arvutuskäiku. Eestis on</w:t>
      </w:r>
      <w:r>
        <w:rPr>
          <w:rFonts w:asciiTheme="minorHAnsi" w:hAnsiTheme="minorHAnsi" w:cstheme="minorBidi"/>
        </w:rPr>
        <w:t xml:space="preserve"> kuus</w:t>
      </w:r>
      <w:r w:rsidRPr="57490200">
        <w:rPr>
          <w:rFonts w:asciiTheme="minorHAnsi" w:hAnsiTheme="minorHAnsi" w:cstheme="minorBidi"/>
        </w:rPr>
        <w:t xml:space="preserve"> kli</w:t>
      </w:r>
      <w:r>
        <w:rPr>
          <w:rFonts w:asciiTheme="minorHAnsi" w:hAnsiTheme="minorHAnsi" w:cstheme="minorBidi"/>
        </w:rPr>
        <w:t>i</w:t>
      </w:r>
      <w:r w:rsidRPr="57490200">
        <w:rPr>
          <w:rFonts w:asciiTheme="minorHAnsi" w:hAnsiTheme="minorHAnsi" w:cstheme="minorBidi"/>
        </w:rPr>
        <w:t>ma</w:t>
      </w:r>
      <w:r>
        <w:rPr>
          <w:rFonts w:asciiTheme="minorHAnsi" w:hAnsiTheme="minorHAnsi" w:cstheme="minorBidi"/>
        </w:rPr>
        <w:t xml:space="preserve"> poolest erinevat</w:t>
      </w:r>
      <w:r w:rsidRPr="57490200">
        <w:rPr>
          <w:rFonts w:asciiTheme="minorHAnsi" w:hAnsiTheme="minorHAnsi" w:cstheme="minorBidi"/>
        </w:rPr>
        <w:t xml:space="preserve"> piirkonda: Jõhvi, Tallinn, Tartu, Valga, Pärnu ja Ristna. Nende piirkondade kraadpäevad</w:t>
      </w:r>
      <w:r>
        <w:rPr>
          <w:rStyle w:val="Allmrkuseviide"/>
          <w:rFonts w:asciiTheme="minorHAnsi" w:hAnsiTheme="minorHAnsi" w:cstheme="minorBidi"/>
        </w:rPr>
        <w:footnoteReference w:id="33"/>
      </w:r>
      <w:r>
        <w:rPr>
          <w:rStyle w:val="Allmrkuseviide"/>
          <w:rFonts w:asciiTheme="minorHAnsi" w:hAnsiTheme="minorHAnsi" w:cstheme="minorBidi"/>
        </w:rPr>
        <w:t xml:space="preserve"> </w:t>
      </w:r>
      <w:r>
        <w:rPr>
          <w:rFonts w:asciiTheme="minorHAnsi" w:hAnsiTheme="minorHAnsi" w:cstheme="minorBidi"/>
        </w:rPr>
        <w:t>(</w:t>
      </w:r>
      <w:r w:rsidRPr="57490200">
        <w:rPr>
          <w:rFonts w:asciiTheme="minorHAnsi" w:hAnsiTheme="minorHAnsi" w:cstheme="minorBidi"/>
        </w:rPr>
        <w:t xml:space="preserve">aastate lõikes saab </w:t>
      </w:r>
      <w:r>
        <w:rPr>
          <w:rFonts w:asciiTheme="minorHAnsi" w:hAnsiTheme="minorHAnsi" w:cstheme="minorBidi"/>
        </w:rPr>
        <w:t xml:space="preserve">neid </w:t>
      </w:r>
      <w:r w:rsidRPr="57490200">
        <w:rPr>
          <w:rFonts w:asciiTheme="minorHAnsi" w:hAnsiTheme="minorHAnsi" w:cstheme="minorBidi"/>
        </w:rPr>
        <w:t>arvutustes kajastada</w:t>
      </w:r>
      <w:r>
        <w:rPr>
          <w:rFonts w:asciiTheme="minorHAnsi" w:hAnsiTheme="minorHAnsi" w:cstheme="minorBidi"/>
        </w:rPr>
        <w:t>)</w:t>
      </w:r>
      <w:r w:rsidRPr="57490200">
        <w:rPr>
          <w:rFonts w:asciiTheme="minorHAnsi" w:hAnsiTheme="minorHAnsi" w:cstheme="minorBidi"/>
        </w:rPr>
        <w:t xml:space="preserve"> on kajastatud ehitisregistris</w:t>
      </w:r>
      <w:r>
        <w:rPr>
          <w:rFonts w:asciiTheme="minorHAnsi" w:hAnsiTheme="minorHAnsi" w:cstheme="minorBidi"/>
        </w:rPr>
        <w:t>.</w:t>
      </w:r>
      <w:r w:rsidRPr="57490200">
        <w:rPr>
          <w:rStyle w:val="Allmrkuseviide"/>
          <w:rFonts w:asciiTheme="minorHAnsi" w:hAnsiTheme="minorHAnsi" w:cstheme="minorBidi"/>
        </w:rPr>
        <w:footnoteReference w:id="34"/>
      </w:r>
    </w:p>
    <w:p w14:paraId="4F2CFCFE" w14:textId="77777777" w:rsidR="00B731C3" w:rsidRDefault="00B731C3" w:rsidP="00B731C3">
      <w:pPr>
        <w:pStyle w:val="muudetavtekst"/>
        <w:rPr>
          <w:rFonts w:asciiTheme="minorHAnsi" w:hAnsiTheme="minorHAnsi" w:cstheme="minorHAnsi"/>
          <w:u w:val="single"/>
        </w:rPr>
      </w:pPr>
    </w:p>
    <w:p w14:paraId="0BF27178" w14:textId="77777777" w:rsidR="00B731C3" w:rsidRDefault="00B731C3" w:rsidP="00B731C3">
      <w:pPr>
        <w:pStyle w:val="muudetavtekst"/>
        <w:rPr>
          <w:rFonts w:asciiTheme="minorHAnsi" w:hAnsiTheme="minorHAnsi" w:cstheme="minorBidi"/>
          <w:u w:val="single"/>
        </w:rPr>
      </w:pPr>
      <w:r>
        <w:rPr>
          <w:rFonts w:asciiTheme="minorHAnsi" w:hAnsiTheme="minorHAnsi" w:cstheme="minorBidi"/>
          <w:u w:val="single"/>
        </w:rPr>
        <w:t>Avalike teenuste tasemed ja energiatõhusus.</w:t>
      </w:r>
    </w:p>
    <w:p w14:paraId="6EF7D039" w14:textId="77777777" w:rsidR="00B731C3" w:rsidRDefault="00B731C3" w:rsidP="00B731C3">
      <w:pPr>
        <w:pStyle w:val="muudetavtekst"/>
        <w:rPr>
          <w:rFonts w:asciiTheme="minorHAnsi" w:hAnsiTheme="minorHAnsi" w:cstheme="minorHAnsi"/>
        </w:rPr>
      </w:pPr>
      <w:r w:rsidRPr="00AD7A09">
        <w:rPr>
          <w:rFonts w:asciiTheme="minorHAnsi" w:hAnsiTheme="minorHAnsi" w:cstheme="minorBidi"/>
        </w:rPr>
        <w:t>Avalikud teenused võivad olla erinevad</w:t>
      </w:r>
      <w:r>
        <w:rPr>
          <w:rFonts w:asciiTheme="minorHAnsi" w:hAnsiTheme="minorHAnsi" w:cstheme="minorBidi"/>
        </w:rPr>
        <w:t>,</w:t>
      </w:r>
      <w:r w:rsidRPr="00AD7A09">
        <w:rPr>
          <w:rFonts w:asciiTheme="minorHAnsi" w:hAnsiTheme="minorHAnsi" w:cstheme="minorBidi"/>
        </w:rPr>
        <w:t xml:space="preserve"> näiteks haridus, lastehoid, meditsiiniteenused </w:t>
      </w:r>
      <w:r>
        <w:rPr>
          <w:rFonts w:asciiTheme="minorHAnsi" w:hAnsiTheme="minorHAnsi" w:cstheme="minorBidi"/>
        </w:rPr>
        <w:t>või</w:t>
      </w:r>
      <w:r w:rsidRPr="00AD7A09">
        <w:rPr>
          <w:rFonts w:asciiTheme="minorHAnsi" w:hAnsiTheme="minorHAnsi" w:cstheme="minorBidi"/>
        </w:rPr>
        <w:t xml:space="preserve"> tänavavalgustus</w:t>
      </w:r>
      <w:r>
        <w:rPr>
          <w:rFonts w:asciiTheme="minorHAnsi" w:hAnsiTheme="minorHAnsi" w:cstheme="minorBidi"/>
        </w:rPr>
        <w:t xml:space="preserve"> jne</w:t>
      </w:r>
      <w:r w:rsidRPr="00AD7A09">
        <w:rPr>
          <w:rFonts w:asciiTheme="minorHAnsi" w:hAnsiTheme="minorHAnsi" w:cstheme="minorBidi"/>
        </w:rPr>
        <w:t xml:space="preserve">. </w:t>
      </w:r>
      <w:r w:rsidRPr="007B2ADE">
        <w:rPr>
          <w:rFonts w:asciiTheme="minorHAnsi" w:hAnsiTheme="minorHAnsi" w:cstheme="minorBidi"/>
        </w:rPr>
        <w:t>Selleks</w:t>
      </w:r>
      <w:r>
        <w:rPr>
          <w:rFonts w:asciiTheme="minorHAnsi" w:hAnsiTheme="minorHAnsi" w:cstheme="minorBidi"/>
        </w:rPr>
        <w:t>,</w:t>
      </w:r>
      <w:r w:rsidRPr="007B2ADE">
        <w:rPr>
          <w:rFonts w:asciiTheme="minorHAnsi" w:hAnsiTheme="minorHAnsi" w:cstheme="minorBidi"/>
        </w:rPr>
        <w:t xml:space="preserve"> et võtta arvesse juhtumeid, kus energiakasutus suureneb</w:t>
      </w:r>
      <w:r>
        <w:rPr>
          <w:rFonts w:asciiTheme="minorHAnsi" w:hAnsiTheme="minorHAnsi" w:cstheme="minorBidi"/>
        </w:rPr>
        <w:t>,</w:t>
      </w:r>
      <w:r w:rsidRPr="007B2ADE">
        <w:rPr>
          <w:rFonts w:asciiTheme="minorHAnsi" w:hAnsiTheme="minorHAnsi" w:cstheme="minorBidi"/>
        </w:rPr>
        <w:t xml:space="preserve"> sest hoone</w:t>
      </w:r>
      <w:r>
        <w:rPr>
          <w:rFonts w:asciiTheme="minorHAnsi" w:hAnsiTheme="minorHAnsi" w:cstheme="minorBidi"/>
        </w:rPr>
        <w:t>t</w:t>
      </w:r>
      <w:r w:rsidRPr="007B2ADE">
        <w:rPr>
          <w:rFonts w:asciiTheme="minorHAnsi" w:hAnsiTheme="minorHAnsi" w:cstheme="minorBidi"/>
        </w:rPr>
        <w:t xml:space="preserve"> laiendatakse või pikeneb tänavavõrk</w:t>
      </w:r>
      <w:r>
        <w:rPr>
          <w:rFonts w:asciiTheme="minorHAnsi" w:hAnsiTheme="minorHAnsi" w:cstheme="minorBidi"/>
        </w:rPr>
        <w:t>,</w:t>
      </w:r>
      <w:r w:rsidRPr="007B2ADE">
        <w:rPr>
          <w:rFonts w:asciiTheme="minorHAnsi" w:hAnsiTheme="minorHAnsi" w:cstheme="minorBidi"/>
        </w:rPr>
        <w:t xml:space="preserve"> kus on tänavavalgustus</w:t>
      </w:r>
      <w:r>
        <w:rPr>
          <w:rFonts w:asciiTheme="minorHAnsi" w:hAnsiTheme="minorHAnsi" w:cstheme="minorBidi"/>
        </w:rPr>
        <w:t>, käsitleme neid seletuskirjas avalike teenuste tasemetena.</w:t>
      </w:r>
    </w:p>
    <w:p w14:paraId="33FC0D6C" w14:textId="77777777" w:rsidR="00B731C3" w:rsidRDefault="00B731C3" w:rsidP="00B731C3">
      <w:pPr>
        <w:pStyle w:val="muudetavtekst"/>
        <w:rPr>
          <w:rFonts w:asciiTheme="minorHAnsi" w:hAnsiTheme="minorHAnsi" w:cstheme="minorHAnsi"/>
        </w:rPr>
      </w:pPr>
    </w:p>
    <w:p w14:paraId="679BC5AB" w14:textId="77777777" w:rsidR="00B731C3" w:rsidRDefault="00B731C3" w:rsidP="00B731C3">
      <w:pPr>
        <w:pStyle w:val="muudetavtekst"/>
        <w:rPr>
          <w:rFonts w:asciiTheme="minorHAnsi" w:hAnsiTheme="minorHAnsi" w:cstheme="minorHAnsi"/>
        </w:rPr>
      </w:pPr>
      <w:r w:rsidRPr="00536E55">
        <w:rPr>
          <w:rFonts w:asciiTheme="minorHAnsi" w:hAnsiTheme="minorHAnsi" w:cstheme="minorHAnsi"/>
        </w:rPr>
        <w:t xml:space="preserve">Tabel </w:t>
      </w:r>
      <w:r>
        <w:rPr>
          <w:rFonts w:asciiTheme="minorHAnsi" w:hAnsiTheme="minorHAnsi" w:cstheme="minorHAnsi"/>
        </w:rPr>
        <w:t>9</w:t>
      </w:r>
      <w:r w:rsidRPr="00536E55">
        <w:rPr>
          <w:rFonts w:asciiTheme="minorHAnsi" w:hAnsiTheme="minorHAnsi" w:cstheme="minorHAnsi"/>
        </w:rPr>
        <w:t>. Avalike teenuste võrdlusparameetrid teenuste tasemete hindamiseks vastavalt energiatarbimisele</w:t>
      </w:r>
    </w:p>
    <w:tbl>
      <w:tblPr>
        <w:tblStyle w:val="Kontuurtabel"/>
        <w:tblW w:w="0" w:type="auto"/>
        <w:tblLook w:val="04A0" w:firstRow="1" w:lastRow="0" w:firstColumn="1" w:lastColumn="0" w:noHBand="0" w:noVBand="1"/>
      </w:tblPr>
      <w:tblGrid>
        <w:gridCol w:w="4531"/>
        <w:gridCol w:w="4531"/>
      </w:tblGrid>
      <w:tr w:rsidR="00B731C3" w14:paraId="03CEE7B5" w14:textId="77777777" w:rsidTr="00A13E67">
        <w:tc>
          <w:tcPr>
            <w:tcW w:w="4531" w:type="dxa"/>
          </w:tcPr>
          <w:p w14:paraId="5DFB1E5D" w14:textId="77777777" w:rsidR="00B731C3" w:rsidRPr="0083793A" w:rsidRDefault="00B731C3" w:rsidP="00A13E67">
            <w:pPr>
              <w:pStyle w:val="muudetavtekst"/>
              <w:rPr>
                <w:rFonts w:asciiTheme="minorHAnsi" w:hAnsiTheme="minorHAnsi" w:cstheme="minorBidi"/>
                <w:b/>
                <w:bCs/>
              </w:rPr>
            </w:pPr>
            <w:r w:rsidRPr="0083793A">
              <w:rPr>
                <w:rFonts w:asciiTheme="minorHAnsi" w:hAnsiTheme="minorHAnsi" w:cstheme="minorBidi"/>
                <w:b/>
                <w:bCs/>
              </w:rPr>
              <w:t>Energiatarbimine hoonetes</w:t>
            </w:r>
          </w:p>
        </w:tc>
        <w:tc>
          <w:tcPr>
            <w:tcW w:w="4531" w:type="dxa"/>
          </w:tcPr>
          <w:p w14:paraId="05C8CF8C" w14:textId="77777777" w:rsidR="00B731C3" w:rsidRPr="0083793A" w:rsidRDefault="00B731C3" w:rsidP="00A13E67">
            <w:pPr>
              <w:pStyle w:val="muudetavtekst"/>
              <w:rPr>
                <w:rFonts w:asciiTheme="minorHAnsi" w:hAnsiTheme="minorHAnsi" w:cstheme="minorBidi"/>
                <w:b/>
                <w:bCs/>
              </w:rPr>
            </w:pPr>
            <w:r w:rsidRPr="0083793A">
              <w:rPr>
                <w:rFonts w:asciiTheme="minorHAnsi" w:hAnsiTheme="minorHAnsi" w:cstheme="minorBidi"/>
                <w:b/>
                <w:bCs/>
              </w:rPr>
              <w:t>Võrdlusparameeter</w:t>
            </w:r>
          </w:p>
        </w:tc>
      </w:tr>
      <w:tr w:rsidR="00B731C3" w14:paraId="637B7383" w14:textId="77777777" w:rsidTr="00A13E67">
        <w:tc>
          <w:tcPr>
            <w:tcW w:w="4531" w:type="dxa"/>
          </w:tcPr>
          <w:p w14:paraId="339BC6EC" w14:textId="77777777" w:rsidR="00B731C3" w:rsidRPr="004E2D26" w:rsidRDefault="00B731C3" w:rsidP="00A13E67">
            <w:pPr>
              <w:pStyle w:val="muudetavtekst"/>
              <w:rPr>
                <w:rFonts w:asciiTheme="minorHAnsi" w:hAnsiTheme="minorHAnsi" w:cstheme="minorHAnsi"/>
              </w:rPr>
            </w:pPr>
            <w:r w:rsidRPr="00B96AF8">
              <w:rPr>
                <w:rFonts w:asciiTheme="minorHAnsi" w:hAnsiTheme="minorHAnsi" w:cstheme="minorHAnsi"/>
              </w:rPr>
              <w:t>Kontori- ja haldushooned</w:t>
            </w:r>
          </w:p>
        </w:tc>
        <w:tc>
          <w:tcPr>
            <w:tcW w:w="4531" w:type="dxa"/>
          </w:tcPr>
          <w:p w14:paraId="7A2B201A" w14:textId="77777777" w:rsidR="00B731C3" w:rsidRPr="00FD2330" w:rsidRDefault="00B731C3" w:rsidP="00A13E67">
            <w:pPr>
              <w:pStyle w:val="muudetavtekst"/>
              <w:rPr>
                <w:rFonts w:asciiTheme="minorHAnsi" w:hAnsiTheme="minorHAnsi" w:cstheme="minorHAnsi"/>
              </w:rPr>
            </w:pPr>
            <w:r>
              <w:rPr>
                <w:rFonts w:asciiTheme="minorHAnsi" w:hAnsiTheme="minorHAnsi" w:cstheme="minorHAnsi"/>
              </w:rPr>
              <w:t>m</w:t>
            </w:r>
            <w:r>
              <w:rPr>
                <w:rFonts w:asciiTheme="minorHAnsi" w:hAnsiTheme="minorHAnsi" w:cstheme="minorHAnsi"/>
                <w:vertAlign w:val="superscript"/>
              </w:rPr>
              <w:t>2</w:t>
            </w:r>
            <w:r w:rsidRPr="00B96AF8">
              <w:rPr>
                <w:rFonts w:asciiTheme="minorHAnsi" w:hAnsiTheme="minorHAnsi" w:cstheme="minorHAnsi"/>
              </w:rPr>
              <w:t xml:space="preserve"> (pind, mille sisekliima on reguleeritud)</w:t>
            </w:r>
          </w:p>
        </w:tc>
      </w:tr>
      <w:tr w:rsidR="00B731C3" w14:paraId="07F520AB" w14:textId="77777777" w:rsidTr="00A13E67">
        <w:tc>
          <w:tcPr>
            <w:tcW w:w="4531" w:type="dxa"/>
          </w:tcPr>
          <w:p w14:paraId="120B625A" w14:textId="77777777" w:rsidR="00B731C3" w:rsidRPr="00B96AF8" w:rsidRDefault="00B731C3" w:rsidP="00A13E67">
            <w:pPr>
              <w:pStyle w:val="muudetavtekst"/>
              <w:rPr>
                <w:rFonts w:asciiTheme="minorHAnsi" w:hAnsiTheme="minorHAnsi" w:cstheme="minorHAnsi"/>
              </w:rPr>
            </w:pPr>
            <w:r w:rsidRPr="00E5404F">
              <w:rPr>
                <w:rFonts w:asciiTheme="minorHAnsi" w:hAnsiTheme="minorHAnsi" w:cstheme="minorHAnsi"/>
              </w:rPr>
              <w:t>Haiglad ja muud tervishoiuhooned</w:t>
            </w:r>
          </w:p>
        </w:tc>
        <w:tc>
          <w:tcPr>
            <w:tcW w:w="4531" w:type="dxa"/>
          </w:tcPr>
          <w:p w14:paraId="59C8D08A" w14:textId="77777777" w:rsidR="00B731C3" w:rsidRDefault="00B731C3" w:rsidP="00A13E67">
            <w:pPr>
              <w:pStyle w:val="muudetavtekst"/>
              <w:rPr>
                <w:rFonts w:asciiTheme="minorHAnsi" w:hAnsiTheme="minorHAnsi" w:cstheme="minorHAnsi"/>
              </w:rPr>
            </w:pPr>
            <w:r w:rsidRPr="001413AC">
              <w:rPr>
                <w:rFonts w:asciiTheme="minorHAnsi" w:hAnsiTheme="minorHAnsi" w:cstheme="minorHAnsi"/>
              </w:rPr>
              <w:t>m</w:t>
            </w:r>
            <w:r w:rsidRPr="005A2FE2">
              <w:rPr>
                <w:rFonts w:asciiTheme="minorHAnsi" w:hAnsiTheme="minorHAnsi" w:cstheme="minorHAnsi"/>
                <w:vertAlign w:val="superscript"/>
              </w:rPr>
              <w:t>2</w:t>
            </w:r>
            <w:r w:rsidRPr="001413AC">
              <w:rPr>
                <w:rFonts w:asciiTheme="minorHAnsi" w:hAnsiTheme="minorHAnsi" w:cstheme="minorHAnsi"/>
              </w:rPr>
              <w:t xml:space="preserve"> (pind, mille sisekliima on reguleeritud)</w:t>
            </w:r>
          </w:p>
        </w:tc>
      </w:tr>
      <w:tr w:rsidR="00B731C3" w14:paraId="658092FB" w14:textId="77777777" w:rsidTr="00A13E67">
        <w:tc>
          <w:tcPr>
            <w:tcW w:w="4531" w:type="dxa"/>
          </w:tcPr>
          <w:p w14:paraId="61F2EE20" w14:textId="77777777" w:rsidR="00B731C3" w:rsidRPr="00E5404F" w:rsidRDefault="00B731C3" w:rsidP="00A13E67">
            <w:pPr>
              <w:pStyle w:val="muudetavtekst"/>
              <w:rPr>
                <w:rFonts w:asciiTheme="minorHAnsi" w:hAnsiTheme="minorHAnsi" w:cstheme="minorHAnsi"/>
              </w:rPr>
            </w:pPr>
            <w:r>
              <w:rPr>
                <w:rFonts w:asciiTheme="minorHAnsi" w:hAnsiTheme="minorHAnsi" w:cstheme="minorHAnsi"/>
              </w:rPr>
              <w:t xml:space="preserve">Koolid ja lasteaiad </w:t>
            </w:r>
          </w:p>
        </w:tc>
        <w:tc>
          <w:tcPr>
            <w:tcW w:w="4531" w:type="dxa"/>
          </w:tcPr>
          <w:p w14:paraId="3FA62FB2" w14:textId="77777777" w:rsidR="00B731C3" w:rsidRDefault="00B731C3" w:rsidP="00A13E67">
            <w:pPr>
              <w:pStyle w:val="muudetavtekst"/>
              <w:rPr>
                <w:rFonts w:asciiTheme="minorHAnsi" w:hAnsiTheme="minorHAnsi" w:cstheme="minorHAnsi"/>
              </w:rPr>
            </w:pPr>
            <w:r w:rsidRPr="001413AC">
              <w:rPr>
                <w:rFonts w:asciiTheme="minorHAnsi" w:hAnsiTheme="minorHAnsi" w:cstheme="minorHAnsi"/>
              </w:rPr>
              <w:t>m</w:t>
            </w:r>
            <w:r w:rsidRPr="005A2FE2">
              <w:rPr>
                <w:rFonts w:asciiTheme="minorHAnsi" w:hAnsiTheme="minorHAnsi" w:cstheme="minorHAnsi"/>
                <w:vertAlign w:val="superscript"/>
              </w:rPr>
              <w:t xml:space="preserve">2 </w:t>
            </w:r>
            <w:r w:rsidRPr="001413AC">
              <w:rPr>
                <w:rFonts w:asciiTheme="minorHAnsi" w:hAnsiTheme="minorHAnsi" w:cstheme="minorHAnsi"/>
              </w:rPr>
              <w:t>(pind, mille sisekliima on reguleeritud)</w:t>
            </w:r>
          </w:p>
        </w:tc>
      </w:tr>
      <w:tr w:rsidR="00B731C3" w14:paraId="3C00C17B" w14:textId="77777777" w:rsidTr="00A13E67">
        <w:tc>
          <w:tcPr>
            <w:tcW w:w="4531" w:type="dxa"/>
          </w:tcPr>
          <w:p w14:paraId="1093A6CA" w14:textId="77777777" w:rsidR="00B731C3" w:rsidRDefault="00B731C3" w:rsidP="00A13E67">
            <w:pPr>
              <w:pStyle w:val="muudetavtekst"/>
              <w:rPr>
                <w:rFonts w:asciiTheme="minorHAnsi" w:hAnsiTheme="minorHAnsi" w:cstheme="minorHAnsi"/>
              </w:rPr>
            </w:pPr>
            <w:r>
              <w:rPr>
                <w:rFonts w:asciiTheme="minorHAnsi" w:hAnsiTheme="minorHAnsi" w:cstheme="minorHAnsi"/>
              </w:rPr>
              <w:lastRenderedPageBreak/>
              <w:t xml:space="preserve">Ülikoolid </w:t>
            </w:r>
          </w:p>
        </w:tc>
        <w:tc>
          <w:tcPr>
            <w:tcW w:w="4531" w:type="dxa"/>
          </w:tcPr>
          <w:p w14:paraId="0B7253AD" w14:textId="77777777" w:rsidR="00B731C3" w:rsidRDefault="00B731C3" w:rsidP="00A13E67">
            <w:pPr>
              <w:pStyle w:val="muudetavtekst"/>
              <w:rPr>
                <w:rFonts w:asciiTheme="minorHAnsi" w:hAnsiTheme="minorHAnsi" w:cstheme="minorHAnsi"/>
              </w:rPr>
            </w:pPr>
            <w:r w:rsidRPr="001413AC">
              <w:rPr>
                <w:rFonts w:asciiTheme="minorHAnsi" w:hAnsiTheme="minorHAnsi" w:cstheme="minorHAnsi"/>
              </w:rPr>
              <w:t>m</w:t>
            </w:r>
            <w:r w:rsidRPr="005A2FE2">
              <w:rPr>
                <w:rFonts w:asciiTheme="minorHAnsi" w:hAnsiTheme="minorHAnsi" w:cstheme="minorHAnsi"/>
                <w:vertAlign w:val="superscript"/>
              </w:rPr>
              <w:t>2</w:t>
            </w:r>
            <w:r w:rsidRPr="001413AC">
              <w:rPr>
                <w:rFonts w:asciiTheme="minorHAnsi" w:hAnsiTheme="minorHAnsi" w:cstheme="minorHAnsi"/>
              </w:rPr>
              <w:t xml:space="preserve"> (pind, mille sisekliima on reguleeritud)</w:t>
            </w:r>
          </w:p>
        </w:tc>
      </w:tr>
      <w:tr w:rsidR="00B731C3" w14:paraId="4A128868" w14:textId="77777777" w:rsidTr="00A13E67">
        <w:tc>
          <w:tcPr>
            <w:tcW w:w="4531" w:type="dxa"/>
          </w:tcPr>
          <w:p w14:paraId="040B56EA" w14:textId="77777777" w:rsidR="00B731C3" w:rsidRDefault="00B731C3" w:rsidP="00A13E67">
            <w:pPr>
              <w:pStyle w:val="muudetavtekst"/>
              <w:rPr>
                <w:rFonts w:asciiTheme="minorHAnsi" w:hAnsiTheme="minorHAnsi" w:cstheme="minorHAnsi"/>
              </w:rPr>
            </w:pPr>
            <w:r>
              <w:rPr>
                <w:rFonts w:asciiTheme="minorHAnsi" w:hAnsiTheme="minorHAnsi" w:cstheme="minorHAnsi"/>
              </w:rPr>
              <w:t>Tehased ja töökojad</w:t>
            </w:r>
          </w:p>
        </w:tc>
        <w:tc>
          <w:tcPr>
            <w:tcW w:w="4531" w:type="dxa"/>
          </w:tcPr>
          <w:p w14:paraId="42121092" w14:textId="77777777" w:rsidR="00B731C3" w:rsidRDefault="00B731C3" w:rsidP="00A13E67">
            <w:pPr>
              <w:pStyle w:val="muudetavtekst"/>
              <w:rPr>
                <w:rFonts w:asciiTheme="minorHAnsi" w:hAnsiTheme="minorHAnsi" w:cstheme="minorHAnsi"/>
              </w:rPr>
            </w:pPr>
            <w:r w:rsidRPr="001413AC">
              <w:rPr>
                <w:rFonts w:asciiTheme="minorHAnsi" w:hAnsiTheme="minorHAnsi" w:cstheme="minorHAnsi"/>
              </w:rPr>
              <w:t>m</w:t>
            </w:r>
            <w:r w:rsidRPr="005A2FE2">
              <w:rPr>
                <w:rFonts w:asciiTheme="minorHAnsi" w:hAnsiTheme="minorHAnsi" w:cstheme="minorHAnsi"/>
                <w:vertAlign w:val="superscript"/>
              </w:rPr>
              <w:t>2</w:t>
            </w:r>
            <w:r w:rsidRPr="001413AC">
              <w:rPr>
                <w:rFonts w:asciiTheme="minorHAnsi" w:hAnsiTheme="minorHAnsi" w:cstheme="minorHAnsi"/>
              </w:rPr>
              <w:t xml:space="preserve"> (pind, mille sisekliima on reguleeritud)</w:t>
            </w:r>
          </w:p>
        </w:tc>
      </w:tr>
      <w:tr w:rsidR="00B731C3" w14:paraId="5BA6634D" w14:textId="77777777" w:rsidTr="00A13E67">
        <w:tc>
          <w:tcPr>
            <w:tcW w:w="4531" w:type="dxa"/>
          </w:tcPr>
          <w:p w14:paraId="4407CFAE" w14:textId="77777777" w:rsidR="00B731C3" w:rsidRDefault="00B731C3" w:rsidP="00A13E67">
            <w:pPr>
              <w:pStyle w:val="muudetavtekst"/>
              <w:rPr>
                <w:rFonts w:asciiTheme="minorHAnsi" w:hAnsiTheme="minorHAnsi" w:cstheme="minorHAnsi"/>
              </w:rPr>
            </w:pPr>
            <w:r w:rsidRPr="001413AC">
              <w:rPr>
                <w:rFonts w:asciiTheme="minorHAnsi" w:hAnsiTheme="minorHAnsi" w:cstheme="minorHAnsi"/>
              </w:rPr>
              <w:t>Riigi omanduses olevad eluhooned</w:t>
            </w:r>
          </w:p>
        </w:tc>
        <w:tc>
          <w:tcPr>
            <w:tcW w:w="4531" w:type="dxa"/>
          </w:tcPr>
          <w:p w14:paraId="7AB70E24" w14:textId="77777777" w:rsidR="00B731C3" w:rsidRDefault="00B731C3" w:rsidP="00A13E67">
            <w:pPr>
              <w:pStyle w:val="muudetavtekst"/>
              <w:rPr>
                <w:rFonts w:asciiTheme="minorHAnsi" w:hAnsiTheme="minorHAnsi" w:cstheme="minorHAnsi"/>
              </w:rPr>
            </w:pPr>
            <w:r w:rsidRPr="001413AC">
              <w:rPr>
                <w:rFonts w:asciiTheme="minorHAnsi" w:hAnsiTheme="minorHAnsi" w:cstheme="minorHAnsi"/>
              </w:rPr>
              <w:t>m</w:t>
            </w:r>
            <w:r w:rsidRPr="005A2FE2">
              <w:rPr>
                <w:rFonts w:asciiTheme="minorHAnsi" w:hAnsiTheme="minorHAnsi" w:cstheme="minorHAnsi"/>
                <w:vertAlign w:val="superscript"/>
              </w:rPr>
              <w:t>2</w:t>
            </w:r>
            <w:r w:rsidRPr="001413AC">
              <w:rPr>
                <w:rFonts w:asciiTheme="minorHAnsi" w:hAnsiTheme="minorHAnsi" w:cstheme="minorHAnsi"/>
              </w:rPr>
              <w:t xml:space="preserve"> (pind, mille sisekliima on reguleeritud)</w:t>
            </w:r>
          </w:p>
        </w:tc>
      </w:tr>
      <w:tr w:rsidR="00B731C3" w14:paraId="7BF80D02" w14:textId="77777777" w:rsidTr="00A13E67">
        <w:tc>
          <w:tcPr>
            <w:tcW w:w="4531" w:type="dxa"/>
          </w:tcPr>
          <w:p w14:paraId="193C744A" w14:textId="77777777" w:rsidR="00B731C3" w:rsidRPr="001413AC" w:rsidRDefault="00B731C3" w:rsidP="00A13E67">
            <w:pPr>
              <w:pStyle w:val="muudetavtekst"/>
              <w:rPr>
                <w:rFonts w:asciiTheme="minorHAnsi" w:hAnsiTheme="minorHAnsi" w:cstheme="minorHAnsi"/>
              </w:rPr>
            </w:pPr>
            <w:r w:rsidRPr="001413AC">
              <w:rPr>
                <w:rFonts w:asciiTheme="minorHAnsi" w:hAnsiTheme="minorHAnsi" w:cstheme="minorHAnsi"/>
              </w:rPr>
              <w:t>Muud üldkasutatavad hooned (omanduses või üüritud)</w:t>
            </w:r>
          </w:p>
        </w:tc>
        <w:tc>
          <w:tcPr>
            <w:tcW w:w="4531" w:type="dxa"/>
          </w:tcPr>
          <w:p w14:paraId="3F460344" w14:textId="77777777" w:rsidR="00B731C3" w:rsidRDefault="00B731C3" w:rsidP="00A13E67">
            <w:pPr>
              <w:pStyle w:val="muudetavtekst"/>
              <w:rPr>
                <w:rFonts w:asciiTheme="minorHAnsi" w:hAnsiTheme="minorHAnsi" w:cstheme="minorHAnsi"/>
              </w:rPr>
            </w:pPr>
            <w:r w:rsidRPr="001413AC">
              <w:rPr>
                <w:rFonts w:asciiTheme="minorHAnsi" w:hAnsiTheme="minorHAnsi" w:cstheme="minorHAnsi"/>
              </w:rPr>
              <w:t>m</w:t>
            </w:r>
            <w:r w:rsidRPr="005A2FE2">
              <w:rPr>
                <w:rFonts w:asciiTheme="minorHAnsi" w:hAnsiTheme="minorHAnsi" w:cstheme="minorHAnsi"/>
                <w:vertAlign w:val="superscript"/>
              </w:rPr>
              <w:t>2</w:t>
            </w:r>
            <w:r w:rsidRPr="001413AC">
              <w:rPr>
                <w:rFonts w:asciiTheme="minorHAnsi" w:hAnsiTheme="minorHAnsi" w:cstheme="minorHAnsi"/>
              </w:rPr>
              <w:t xml:space="preserve"> (pind, mille sisekliima on reguleeritud)</w:t>
            </w:r>
          </w:p>
        </w:tc>
      </w:tr>
      <w:tr w:rsidR="00B731C3" w14:paraId="3E1DA3D5" w14:textId="77777777" w:rsidTr="00A13E67">
        <w:tc>
          <w:tcPr>
            <w:tcW w:w="4531" w:type="dxa"/>
          </w:tcPr>
          <w:p w14:paraId="7618069A" w14:textId="77777777" w:rsidR="00B731C3" w:rsidRPr="008D4892" w:rsidRDefault="00B731C3" w:rsidP="00A13E67">
            <w:pPr>
              <w:pStyle w:val="muudetavtekst"/>
              <w:rPr>
                <w:rFonts w:asciiTheme="minorHAnsi" w:hAnsiTheme="minorHAnsi" w:cstheme="minorBidi"/>
                <w:b/>
                <w:bCs/>
              </w:rPr>
            </w:pPr>
            <w:r w:rsidRPr="57490200">
              <w:rPr>
                <w:rFonts w:asciiTheme="minorHAnsi" w:hAnsiTheme="minorHAnsi" w:cstheme="minorBidi"/>
                <w:b/>
                <w:bCs/>
              </w:rPr>
              <w:t>Energiatarbimi</w:t>
            </w:r>
            <w:r>
              <w:rPr>
                <w:rFonts w:asciiTheme="minorHAnsi" w:hAnsiTheme="minorHAnsi" w:cstheme="minorBidi"/>
                <w:b/>
                <w:bCs/>
              </w:rPr>
              <w:t>s</w:t>
            </w:r>
            <w:r w:rsidRPr="57490200">
              <w:rPr>
                <w:rFonts w:asciiTheme="minorHAnsi" w:hAnsiTheme="minorHAnsi" w:cstheme="minorBidi"/>
                <w:b/>
                <w:bCs/>
              </w:rPr>
              <w:t xml:space="preserve">e </w:t>
            </w:r>
            <w:r>
              <w:rPr>
                <w:rFonts w:asciiTheme="minorHAnsi" w:hAnsiTheme="minorHAnsi" w:cstheme="minorBidi"/>
                <w:b/>
                <w:bCs/>
              </w:rPr>
              <w:t>valdkond</w:t>
            </w:r>
          </w:p>
        </w:tc>
        <w:tc>
          <w:tcPr>
            <w:tcW w:w="4531" w:type="dxa"/>
          </w:tcPr>
          <w:p w14:paraId="12C22BF9" w14:textId="77777777" w:rsidR="00B731C3" w:rsidRPr="00EB18DC" w:rsidRDefault="00B731C3" w:rsidP="00A13E67">
            <w:pPr>
              <w:pStyle w:val="muudetavtekst"/>
              <w:rPr>
                <w:rFonts w:asciiTheme="minorHAnsi" w:hAnsiTheme="minorHAnsi" w:cstheme="minorHAnsi"/>
                <w:b/>
                <w:bCs/>
              </w:rPr>
            </w:pPr>
            <w:r w:rsidRPr="00EB18DC">
              <w:rPr>
                <w:rFonts w:asciiTheme="minorHAnsi" w:hAnsiTheme="minorHAnsi" w:cstheme="minorHAnsi"/>
                <w:b/>
                <w:bCs/>
              </w:rPr>
              <w:t>Võrdlusparameet</w:t>
            </w:r>
            <w:r>
              <w:rPr>
                <w:rFonts w:asciiTheme="minorHAnsi" w:hAnsiTheme="minorHAnsi" w:cstheme="minorHAnsi"/>
                <w:b/>
                <w:bCs/>
              </w:rPr>
              <w:t>er</w:t>
            </w:r>
          </w:p>
        </w:tc>
      </w:tr>
      <w:tr w:rsidR="00B731C3" w14:paraId="5A9CE4B3" w14:textId="77777777" w:rsidTr="00A13E67">
        <w:tc>
          <w:tcPr>
            <w:tcW w:w="4531" w:type="dxa"/>
          </w:tcPr>
          <w:p w14:paraId="1222FAF3" w14:textId="77777777" w:rsidR="00B731C3" w:rsidRPr="00066D15" w:rsidRDefault="00B731C3" w:rsidP="00A13E67">
            <w:pPr>
              <w:pStyle w:val="muudetavtekst"/>
              <w:rPr>
                <w:rFonts w:asciiTheme="minorHAnsi" w:hAnsiTheme="minorHAnsi" w:cstheme="minorHAnsi"/>
              </w:rPr>
            </w:pPr>
            <w:r w:rsidRPr="00066D15">
              <w:rPr>
                <w:rFonts w:asciiTheme="minorHAnsi" w:hAnsiTheme="minorHAnsi" w:cstheme="minorHAnsi"/>
              </w:rPr>
              <w:t>Tänavavalgustus</w:t>
            </w:r>
          </w:p>
        </w:tc>
        <w:tc>
          <w:tcPr>
            <w:tcW w:w="4531" w:type="dxa"/>
          </w:tcPr>
          <w:p w14:paraId="6301E436" w14:textId="77777777" w:rsidR="00B731C3" w:rsidRPr="001413AC" w:rsidRDefault="00B731C3" w:rsidP="00A13E67">
            <w:pPr>
              <w:pStyle w:val="muudetavtekst"/>
              <w:rPr>
                <w:rFonts w:asciiTheme="minorHAnsi" w:hAnsiTheme="minorHAnsi" w:cstheme="minorHAnsi"/>
              </w:rPr>
            </w:pPr>
            <w:r w:rsidRPr="00481B82">
              <w:rPr>
                <w:rFonts w:asciiTheme="minorHAnsi" w:hAnsiTheme="minorHAnsi" w:cstheme="minorHAnsi"/>
              </w:rPr>
              <w:t>Valgustatud tänavad kilomeetrites või valgustipunktide arv</w:t>
            </w:r>
          </w:p>
        </w:tc>
      </w:tr>
      <w:tr w:rsidR="00B731C3" w14:paraId="303E2371" w14:textId="77777777" w:rsidTr="00A13E67">
        <w:tc>
          <w:tcPr>
            <w:tcW w:w="4531" w:type="dxa"/>
          </w:tcPr>
          <w:p w14:paraId="4FFE953F" w14:textId="77777777" w:rsidR="00B731C3" w:rsidRPr="00066D15" w:rsidRDefault="00B731C3" w:rsidP="00A13E67">
            <w:pPr>
              <w:pStyle w:val="muudetavtekst"/>
              <w:rPr>
                <w:rFonts w:asciiTheme="minorHAnsi" w:hAnsiTheme="minorHAnsi" w:cstheme="minorHAnsi"/>
              </w:rPr>
            </w:pPr>
            <w:r w:rsidRPr="00066D15">
              <w:rPr>
                <w:rFonts w:asciiTheme="minorHAnsi" w:hAnsiTheme="minorHAnsi" w:cstheme="minorHAnsi"/>
              </w:rPr>
              <w:t>Veevarustus</w:t>
            </w:r>
          </w:p>
        </w:tc>
        <w:tc>
          <w:tcPr>
            <w:tcW w:w="4531" w:type="dxa"/>
          </w:tcPr>
          <w:p w14:paraId="74B07324" w14:textId="77777777" w:rsidR="00B731C3" w:rsidRPr="001413AC" w:rsidRDefault="00B731C3" w:rsidP="00A13E67">
            <w:pPr>
              <w:pStyle w:val="muudetavtekst"/>
              <w:rPr>
                <w:rFonts w:asciiTheme="minorHAnsi" w:hAnsiTheme="minorHAnsi" w:cstheme="minorHAnsi"/>
              </w:rPr>
            </w:pPr>
            <w:r w:rsidRPr="005B6D2E">
              <w:rPr>
                <w:rFonts w:asciiTheme="minorHAnsi" w:hAnsiTheme="minorHAnsi" w:cstheme="minorHAnsi"/>
              </w:rPr>
              <w:t>Veetarbimine aastas</w:t>
            </w:r>
          </w:p>
        </w:tc>
      </w:tr>
      <w:tr w:rsidR="00B731C3" w14:paraId="226DCAF9" w14:textId="77777777" w:rsidTr="00A13E67">
        <w:tc>
          <w:tcPr>
            <w:tcW w:w="4531" w:type="dxa"/>
          </w:tcPr>
          <w:p w14:paraId="5AE2672A" w14:textId="77777777" w:rsidR="00B731C3" w:rsidRPr="00066D15" w:rsidRDefault="00B731C3" w:rsidP="00A13E67">
            <w:pPr>
              <w:pStyle w:val="muudetavtekst"/>
              <w:rPr>
                <w:rFonts w:asciiTheme="minorHAnsi" w:hAnsiTheme="minorHAnsi" w:cstheme="minorHAnsi"/>
              </w:rPr>
            </w:pPr>
            <w:r w:rsidRPr="00481B82">
              <w:rPr>
                <w:rFonts w:asciiTheme="minorHAnsi" w:hAnsiTheme="minorHAnsi" w:cstheme="minorHAnsi"/>
              </w:rPr>
              <w:t>Reoveekäitlus</w:t>
            </w:r>
          </w:p>
        </w:tc>
        <w:tc>
          <w:tcPr>
            <w:tcW w:w="4531" w:type="dxa"/>
          </w:tcPr>
          <w:p w14:paraId="3A9C8A2E" w14:textId="77777777" w:rsidR="00B731C3" w:rsidRPr="001413AC" w:rsidRDefault="00B731C3" w:rsidP="00A13E67">
            <w:pPr>
              <w:pStyle w:val="muudetavtekst"/>
              <w:rPr>
                <w:rFonts w:asciiTheme="minorHAnsi" w:hAnsiTheme="minorHAnsi" w:cstheme="minorHAnsi"/>
              </w:rPr>
            </w:pPr>
            <w:r w:rsidRPr="005B6D2E">
              <w:rPr>
                <w:rFonts w:asciiTheme="minorHAnsi" w:hAnsiTheme="minorHAnsi" w:cstheme="minorHAnsi"/>
              </w:rPr>
              <w:t>Aastas käideldud reovesi</w:t>
            </w:r>
          </w:p>
        </w:tc>
      </w:tr>
      <w:tr w:rsidR="00B731C3" w14:paraId="541D8BF5" w14:textId="77777777" w:rsidTr="00A13E67">
        <w:tc>
          <w:tcPr>
            <w:tcW w:w="4531" w:type="dxa"/>
          </w:tcPr>
          <w:p w14:paraId="69107823" w14:textId="77777777" w:rsidR="00B731C3" w:rsidRPr="00481B82" w:rsidRDefault="00B731C3" w:rsidP="00A13E67">
            <w:pPr>
              <w:pStyle w:val="muudetavtekst"/>
              <w:rPr>
                <w:rFonts w:asciiTheme="minorHAnsi" w:hAnsiTheme="minorHAnsi" w:cstheme="minorHAnsi"/>
              </w:rPr>
            </w:pPr>
            <w:r w:rsidRPr="00481B82">
              <w:rPr>
                <w:rFonts w:asciiTheme="minorHAnsi" w:hAnsiTheme="minorHAnsi" w:cstheme="minorHAnsi"/>
              </w:rPr>
              <w:t>Jäätmekäitlus</w:t>
            </w:r>
          </w:p>
        </w:tc>
        <w:tc>
          <w:tcPr>
            <w:tcW w:w="4531" w:type="dxa"/>
          </w:tcPr>
          <w:p w14:paraId="37DDD412" w14:textId="77777777" w:rsidR="00B731C3" w:rsidRPr="001413AC" w:rsidRDefault="00B731C3" w:rsidP="00A13E67">
            <w:pPr>
              <w:pStyle w:val="muudetavtekst"/>
              <w:rPr>
                <w:rFonts w:asciiTheme="minorHAnsi" w:hAnsiTheme="minorHAnsi" w:cstheme="minorHAnsi"/>
              </w:rPr>
            </w:pPr>
            <w:r w:rsidRPr="000432F7">
              <w:rPr>
                <w:rFonts w:asciiTheme="minorHAnsi" w:hAnsiTheme="minorHAnsi" w:cstheme="minorHAnsi"/>
              </w:rPr>
              <w:t>Jäätmeteke aastas</w:t>
            </w:r>
          </w:p>
        </w:tc>
      </w:tr>
      <w:tr w:rsidR="00B731C3" w14:paraId="5CE95988" w14:textId="77777777" w:rsidTr="00A13E67">
        <w:tc>
          <w:tcPr>
            <w:tcW w:w="4531" w:type="dxa"/>
          </w:tcPr>
          <w:p w14:paraId="0C8F128B" w14:textId="77777777" w:rsidR="00B731C3" w:rsidRPr="00042618" w:rsidRDefault="00B731C3" w:rsidP="00A13E67">
            <w:pPr>
              <w:pStyle w:val="muudetavtekst"/>
              <w:rPr>
                <w:rFonts w:asciiTheme="minorHAnsi" w:hAnsiTheme="minorHAnsi" w:cstheme="minorBidi"/>
                <w:b/>
                <w:bCs/>
              </w:rPr>
            </w:pPr>
            <w:r w:rsidRPr="57490200">
              <w:rPr>
                <w:rFonts w:asciiTheme="minorHAnsi" w:hAnsiTheme="minorHAnsi" w:cstheme="minorBidi"/>
                <w:b/>
                <w:bCs/>
              </w:rPr>
              <w:t xml:space="preserve">Energiatarbimine liikuvusteenustes </w:t>
            </w:r>
          </w:p>
        </w:tc>
        <w:tc>
          <w:tcPr>
            <w:tcW w:w="4531" w:type="dxa"/>
          </w:tcPr>
          <w:p w14:paraId="67C71E7C" w14:textId="77777777" w:rsidR="00B731C3" w:rsidRPr="0039008A" w:rsidRDefault="00B731C3" w:rsidP="00A13E67">
            <w:pPr>
              <w:pStyle w:val="muudetavtekst"/>
              <w:rPr>
                <w:rFonts w:asciiTheme="minorHAnsi" w:hAnsiTheme="minorHAnsi" w:cstheme="minorHAnsi"/>
                <w:b/>
                <w:bCs/>
              </w:rPr>
            </w:pPr>
            <w:r w:rsidRPr="0039008A">
              <w:rPr>
                <w:rFonts w:asciiTheme="minorHAnsi" w:hAnsiTheme="minorHAnsi" w:cstheme="minorHAnsi"/>
                <w:b/>
                <w:bCs/>
              </w:rPr>
              <w:t>Võrdlusparameeter</w:t>
            </w:r>
          </w:p>
        </w:tc>
      </w:tr>
      <w:tr w:rsidR="00B731C3" w14:paraId="58A1A8AE" w14:textId="77777777" w:rsidTr="00A13E67">
        <w:tc>
          <w:tcPr>
            <w:tcW w:w="4531" w:type="dxa"/>
          </w:tcPr>
          <w:p w14:paraId="7F1C921D" w14:textId="77777777" w:rsidR="00B731C3" w:rsidRPr="00794411" w:rsidRDefault="00B731C3" w:rsidP="00A13E67">
            <w:pPr>
              <w:pStyle w:val="muudetavtekst"/>
              <w:rPr>
                <w:rFonts w:asciiTheme="minorHAnsi" w:hAnsiTheme="minorHAnsi" w:cstheme="minorHAnsi"/>
              </w:rPr>
            </w:pPr>
            <w:r w:rsidRPr="00794411">
              <w:rPr>
                <w:rFonts w:asciiTheme="minorHAnsi" w:hAnsiTheme="minorHAnsi" w:cstheme="minorHAnsi"/>
              </w:rPr>
              <w:t>Ühistransport</w:t>
            </w:r>
          </w:p>
        </w:tc>
        <w:tc>
          <w:tcPr>
            <w:tcW w:w="4531" w:type="dxa"/>
          </w:tcPr>
          <w:p w14:paraId="061E6F54" w14:textId="77777777" w:rsidR="00B731C3" w:rsidRPr="000432F7" w:rsidRDefault="00B731C3" w:rsidP="00A13E67">
            <w:pPr>
              <w:pStyle w:val="muudetavtekst"/>
              <w:rPr>
                <w:rFonts w:asciiTheme="minorHAnsi" w:hAnsiTheme="minorHAnsi" w:cstheme="minorHAnsi"/>
              </w:rPr>
            </w:pPr>
            <w:r w:rsidRPr="00D06B15">
              <w:rPr>
                <w:rFonts w:asciiTheme="minorHAnsi" w:hAnsiTheme="minorHAnsi" w:cstheme="minorHAnsi"/>
              </w:rPr>
              <w:t>Aastas läbitud kilomeetrite arv</w:t>
            </w:r>
          </w:p>
        </w:tc>
      </w:tr>
    </w:tbl>
    <w:p w14:paraId="4CD0F9C5" w14:textId="77777777" w:rsidR="00B731C3" w:rsidRDefault="00B731C3" w:rsidP="00B731C3">
      <w:pPr>
        <w:pStyle w:val="muudetavtekst"/>
        <w:rPr>
          <w:rFonts w:asciiTheme="minorHAnsi" w:hAnsiTheme="minorHAnsi" w:cstheme="minorHAnsi"/>
        </w:rPr>
      </w:pPr>
    </w:p>
    <w:p w14:paraId="080ADD40" w14:textId="77777777" w:rsidR="00B731C3" w:rsidRDefault="00B731C3" w:rsidP="00B731C3">
      <w:pPr>
        <w:pStyle w:val="muudetavtekst"/>
        <w:rPr>
          <w:rFonts w:asciiTheme="minorHAnsi" w:hAnsiTheme="minorHAnsi" w:cstheme="minorBidi"/>
        </w:rPr>
      </w:pPr>
      <w:r w:rsidRPr="57490200">
        <w:rPr>
          <w:rFonts w:asciiTheme="minorHAnsi" w:hAnsiTheme="minorHAnsi" w:cstheme="minorBidi"/>
        </w:rPr>
        <w:t xml:space="preserve">Valem, mille kaudu </w:t>
      </w:r>
      <w:r>
        <w:rPr>
          <w:rFonts w:asciiTheme="minorHAnsi" w:hAnsiTheme="minorHAnsi" w:cstheme="minorBidi"/>
        </w:rPr>
        <w:t xml:space="preserve">võetakse arvesse </w:t>
      </w:r>
      <w:r w:rsidRPr="57490200">
        <w:rPr>
          <w:rFonts w:asciiTheme="minorHAnsi" w:hAnsiTheme="minorHAnsi" w:cstheme="minorBidi"/>
        </w:rPr>
        <w:t>teenustasemete muutust</w:t>
      </w:r>
      <w:r>
        <w:rPr>
          <w:rFonts w:asciiTheme="minorHAnsi" w:hAnsiTheme="minorHAnsi" w:cstheme="minorBidi"/>
        </w:rPr>
        <w:t>,</w:t>
      </w:r>
      <w:r w:rsidRPr="57490200">
        <w:rPr>
          <w:rFonts w:asciiTheme="minorHAnsi" w:hAnsiTheme="minorHAnsi" w:cstheme="minorBidi"/>
        </w:rPr>
        <w:t xml:space="preserve"> on järgmine:</w:t>
      </w:r>
    </w:p>
    <w:p w14:paraId="23D69C32" w14:textId="77777777" w:rsidR="00B731C3" w:rsidRDefault="00B731C3" w:rsidP="00B731C3">
      <w:pPr>
        <w:pStyle w:val="muudetavtekst"/>
        <w:rPr>
          <w:rFonts w:asciiTheme="minorHAnsi" w:hAnsiTheme="minorHAnsi" w:cstheme="minorHAnsi"/>
        </w:rPr>
      </w:pPr>
      <w:r w:rsidRPr="004B597F">
        <w:rPr>
          <w:rFonts w:asciiTheme="minorHAnsi" w:hAnsiTheme="minorHAnsi" w:cstheme="minorHAnsi"/>
          <w:noProof/>
        </w:rPr>
        <w:drawing>
          <wp:inline distT="0" distB="0" distL="0" distR="0" wp14:anchorId="21514268" wp14:editId="456D4E1F">
            <wp:extent cx="1619476" cy="609685"/>
            <wp:effectExtent l="0" t="0" r="0" b="0"/>
            <wp:docPr id="982256513" name="Pilt 1" descr="Pilt, millel on kujutatud tekst, Font, valge, logo&#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256513" name="Pilt 1" descr="Pilt, millel on kujutatud tekst, Font, valge, logo&#10;&#10;Tehisintellekti genereeritud sisu võib olla ebatõene."/>
                    <pic:cNvPicPr/>
                  </pic:nvPicPr>
                  <pic:blipFill>
                    <a:blip r:embed="rId17"/>
                    <a:stretch>
                      <a:fillRect/>
                    </a:stretch>
                  </pic:blipFill>
                  <pic:spPr>
                    <a:xfrm>
                      <a:off x="0" y="0"/>
                      <a:ext cx="1619476" cy="609685"/>
                    </a:xfrm>
                    <a:prstGeom prst="rect">
                      <a:avLst/>
                    </a:prstGeom>
                  </pic:spPr>
                </pic:pic>
              </a:graphicData>
            </a:graphic>
          </wp:inline>
        </w:drawing>
      </w:r>
    </w:p>
    <w:p w14:paraId="7B32E9A0" w14:textId="77777777" w:rsidR="00B731C3" w:rsidRDefault="00B731C3" w:rsidP="00B731C3">
      <w:pPr>
        <w:pStyle w:val="muudetavtekst"/>
        <w:rPr>
          <w:rFonts w:asciiTheme="minorHAnsi" w:hAnsiTheme="minorHAnsi" w:cstheme="minorHAnsi"/>
        </w:rPr>
      </w:pPr>
      <w:r>
        <w:rPr>
          <w:rFonts w:asciiTheme="minorHAnsi" w:hAnsiTheme="minorHAnsi" w:cstheme="minorHAnsi"/>
        </w:rPr>
        <w:t xml:space="preserve">Kus: </w:t>
      </w:r>
    </w:p>
    <w:p w14:paraId="6B39998E" w14:textId="77777777" w:rsidR="00B731C3" w:rsidRDefault="00B731C3" w:rsidP="00B731C3">
      <w:pPr>
        <w:pStyle w:val="muudetavtekst"/>
        <w:rPr>
          <w:rFonts w:asciiTheme="minorHAnsi" w:hAnsiTheme="minorHAnsi" w:cstheme="minorHAnsi"/>
        </w:rPr>
      </w:pPr>
      <w:r w:rsidRPr="00912B89">
        <w:rPr>
          <w:rFonts w:asciiTheme="minorHAnsi" w:hAnsiTheme="minorHAnsi" w:cstheme="minorHAnsi"/>
          <w:i/>
          <w:iCs/>
        </w:rPr>
        <w:t>FEC</w:t>
      </w:r>
      <w:r w:rsidRPr="00912B89">
        <w:rPr>
          <w:rFonts w:asciiTheme="minorHAnsi" w:hAnsiTheme="minorHAnsi" w:cstheme="minorHAnsi"/>
          <w:i/>
          <w:iCs/>
          <w:vertAlign w:val="subscript"/>
        </w:rPr>
        <w:t>adj</w:t>
      </w:r>
      <w:r>
        <w:rPr>
          <w:rFonts w:asciiTheme="minorHAnsi" w:hAnsiTheme="minorHAnsi" w:cstheme="minorHAnsi"/>
        </w:rPr>
        <w:t xml:space="preserve"> </w:t>
      </w:r>
      <w:r>
        <w:rPr>
          <w:rFonts w:asciiTheme="minorHAnsi" w:hAnsiTheme="minorHAnsi" w:cstheme="minorBidi"/>
        </w:rPr>
        <w:t>–</w:t>
      </w:r>
      <w:r>
        <w:rPr>
          <w:rFonts w:asciiTheme="minorHAnsi" w:hAnsiTheme="minorHAnsi" w:cstheme="minorHAnsi"/>
        </w:rPr>
        <w:t xml:space="preserve"> k</w:t>
      </w:r>
      <w:r w:rsidRPr="006F044E">
        <w:rPr>
          <w:rFonts w:asciiTheme="minorHAnsi" w:hAnsiTheme="minorHAnsi" w:cstheme="minorHAnsi"/>
        </w:rPr>
        <w:t>ohandatud energia lõpptarbimine</w:t>
      </w:r>
      <w:r>
        <w:rPr>
          <w:rFonts w:asciiTheme="minorHAnsi" w:hAnsiTheme="minorHAnsi" w:cstheme="minorHAnsi"/>
        </w:rPr>
        <w:t>;</w:t>
      </w:r>
    </w:p>
    <w:p w14:paraId="1BC4D54C" w14:textId="77777777" w:rsidR="00B731C3" w:rsidRDefault="00B731C3" w:rsidP="00B731C3">
      <w:pPr>
        <w:pStyle w:val="muudetavtekst"/>
        <w:rPr>
          <w:rFonts w:asciiTheme="minorHAnsi" w:hAnsiTheme="minorHAnsi" w:cstheme="minorHAnsi"/>
        </w:rPr>
      </w:pPr>
      <w:r w:rsidRPr="006F044E">
        <w:rPr>
          <w:rFonts w:asciiTheme="minorHAnsi" w:hAnsiTheme="minorHAnsi" w:cstheme="minorHAnsi"/>
          <w:i/>
          <w:iCs/>
        </w:rPr>
        <w:t>FEC</w:t>
      </w:r>
      <w:r>
        <w:rPr>
          <w:rFonts w:asciiTheme="minorHAnsi" w:hAnsiTheme="minorHAnsi" w:cstheme="minorHAnsi"/>
        </w:rPr>
        <w:t xml:space="preserve"> </w:t>
      </w:r>
      <w:r>
        <w:rPr>
          <w:rFonts w:asciiTheme="minorHAnsi" w:hAnsiTheme="minorHAnsi" w:cstheme="minorBidi"/>
        </w:rPr>
        <w:t>–</w:t>
      </w:r>
      <w:r>
        <w:rPr>
          <w:rFonts w:asciiTheme="minorHAnsi" w:hAnsiTheme="minorHAnsi" w:cstheme="minorHAnsi"/>
        </w:rPr>
        <w:t xml:space="preserve"> e</w:t>
      </w:r>
      <w:r w:rsidRPr="00EE1689">
        <w:rPr>
          <w:rFonts w:asciiTheme="minorHAnsi" w:hAnsiTheme="minorHAnsi" w:cstheme="minorHAnsi"/>
        </w:rPr>
        <w:t>nergia lõpptarbimine (kogutud andmed)</w:t>
      </w:r>
      <w:r>
        <w:rPr>
          <w:rFonts w:asciiTheme="minorHAnsi" w:hAnsiTheme="minorHAnsi" w:cstheme="minorHAnsi"/>
        </w:rPr>
        <w:t>;</w:t>
      </w:r>
    </w:p>
    <w:p w14:paraId="6937900F" w14:textId="77777777" w:rsidR="00B731C3" w:rsidRPr="00C57150" w:rsidRDefault="00B731C3" w:rsidP="00B731C3">
      <w:pPr>
        <w:pStyle w:val="muudetavtekst"/>
        <w:rPr>
          <w:rFonts w:asciiTheme="minorHAnsi" w:hAnsiTheme="minorHAnsi" w:cstheme="minorHAnsi"/>
          <w:i/>
          <w:iCs/>
        </w:rPr>
      </w:pPr>
      <w:r w:rsidRPr="00644AD5">
        <w:rPr>
          <w:rFonts w:asciiTheme="minorHAnsi" w:hAnsiTheme="minorHAnsi" w:cstheme="minorHAnsi"/>
          <w:i/>
          <w:iCs/>
        </w:rPr>
        <w:t>Par</w:t>
      </w:r>
      <w:r>
        <w:rPr>
          <w:rFonts w:asciiTheme="minorHAnsi" w:hAnsiTheme="minorHAnsi" w:cstheme="minorHAnsi"/>
          <w:i/>
          <w:iCs/>
          <w:vertAlign w:val="subscript"/>
        </w:rPr>
        <w:t>base</w:t>
      </w:r>
      <w:r>
        <w:rPr>
          <w:rFonts w:asciiTheme="minorHAnsi" w:hAnsiTheme="minorHAnsi" w:cstheme="minorHAnsi"/>
          <w:i/>
          <w:iCs/>
        </w:rPr>
        <w:t xml:space="preserve"> </w:t>
      </w:r>
      <w:r>
        <w:rPr>
          <w:rFonts w:asciiTheme="minorHAnsi" w:hAnsiTheme="minorHAnsi" w:cstheme="minorBidi"/>
        </w:rPr>
        <w:t>–</w:t>
      </w:r>
      <w:r>
        <w:rPr>
          <w:rFonts w:asciiTheme="minorHAnsi" w:hAnsiTheme="minorHAnsi" w:cstheme="minorHAnsi"/>
          <w:i/>
          <w:iCs/>
        </w:rPr>
        <w:t xml:space="preserve"> </w:t>
      </w:r>
      <w:r w:rsidRPr="005A2FE2">
        <w:rPr>
          <w:rFonts w:asciiTheme="minorHAnsi" w:hAnsiTheme="minorHAnsi" w:cstheme="minorHAnsi"/>
        </w:rPr>
        <w:t>t</w:t>
      </w:r>
      <w:r w:rsidRPr="00A3725D">
        <w:rPr>
          <w:rFonts w:asciiTheme="minorHAnsi" w:hAnsiTheme="minorHAnsi" w:cstheme="minorHAnsi"/>
        </w:rPr>
        <w:t>eenuse taseme parameetri väärtus võrdlusaastal</w:t>
      </w:r>
      <w:r>
        <w:rPr>
          <w:rFonts w:asciiTheme="minorHAnsi" w:hAnsiTheme="minorHAnsi" w:cstheme="minorHAnsi"/>
        </w:rPr>
        <w:t>;</w:t>
      </w:r>
    </w:p>
    <w:p w14:paraId="139E8C48" w14:textId="77777777" w:rsidR="00B731C3" w:rsidRDefault="00B731C3" w:rsidP="00B731C3">
      <w:pPr>
        <w:pStyle w:val="muudetavtekst"/>
        <w:rPr>
          <w:rFonts w:asciiTheme="minorHAnsi" w:hAnsiTheme="minorHAnsi" w:cstheme="minorHAnsi"/>
        </w:rPr>
      </w:pPr>
      <w:r w:rsidRPr="009D58DD">
        <w:rPr>
          <w:rFonts w:asciiTheme="minorHAnsi" w:hAnsiTheme="minorHAnsi" w:cstheme="minorHAnsi"/>
          <w:i/>
          <w:iCs/>
        </w:rPr>
        <w:t>Par</w:t>
      </w:r>
      <w:r>
        <w:rPr>
          <w:rFonts w:asciiTheme="minorHAnsi" w:hAnsiTheme="minorHAnsi" w:cstheme="minorHAnsi"/>
          <w:i/>
          <w:iCs/>
          <w:vertAlign w:val="subscript"/>
        </w:rPr>
        <w:t xml:space="preserve">rep </w:t>
      </w:r>
      <w:r>
        <w:rPr>
          <w:rFonts w:asciiTheme="minorHAnsi" w:hAnsiTheme="minorHAnsi" w:cstheme="minorBidi"/>
        </w:rPr>
        <w:t>–</w:t>
      </w:r>
      <w:r>
        <w:rPr>
          <w:rFonts w:asciiTheme="minorHAnsi" w:hAnsiTheme="minorHAnsi" w:cstheme="minorHAnsi"/>
          <w:i/>
          <w:iCs/>
        </w:rPr>
        <w:t xml:space="preserve"> </w:t>
      </w:r>
      <w:r>
        <w:rPr>
          <w:rFonts w:asciiTheme="minorHAnsi" w:hAnsiTheme="minorHAnsi" w:cstheme="minorHAnsi"/>
        </w:rPr>
        <w:t>t</w:t>
      </w:r>
      <w:r w:rsidRPr="00A3725D">
        <w:rPr>
          <w:rFonts w:asciiTheme="minorHAnsi" w:hAnsiTheme="minorHAnsi" w:cstheme="minorHAnsi"/>
        </w:rPr>
        <w:t>eenuse taseme parameetri väärtus aruandeaastal</w:t>
      </w:r>
      <w:r>
        <w:rPr>
          <w:rFonts w:asciiTheme="minorHAnsi" w:hAnsiTheme="minorHAnsi" w:cstheme="minorHAnsi"/>
        </w:rPr>
        <w:t>.</w:t>
      </w:r>
    </w:p>
    <w:p w14:paraId="44787129" w14:textId="77777777" w:rsidR="00B731C3" w:rsidRDefault="00B731C3" w:rsidP="00B731C3">
      <w:pPr>
        <w:pStyle w:val="muudetavtekst"/>
        <w:rPr>
          <w:rFonts w:asciiTheme="minorHAnsi" w:hAnsiTheme="minorHAnsi" w:cstheme="minorHAnsi"/>
        </w:rPr>
      </w:pPr>
    </w:p>
    <w:p w14:paraId="5B9A04EA" w14:textId="77777777" w:rsidR="00B731C3" w:rsidRPr="00A83F39" w:rsidRDefault="00B731C3" w:rsidP="00B731C3">
      <w:pPr>
        <w:pStyle w:val="muudetavtekst"/>
        <w:rPr>
          <w:rFonts w:asciiTheme="minorHAnsi" w:hAnsiTheme="minorHAnsi" w:cstheme="minorHAnsi"/>
          <w:u w:val="single"/>
        </w:rPr>
      </w:pPr>
      <w:r w:rsidRPr="00A83F39">
        <w:rPr>
          <w:rFonts w:asciiTheme="minorHAnsi" w:hAnsiTheme="minorHAnsi" w:cstheme="minorHAnsi"/>
          <w:u w:val="single"/>
        </w:rPr>
        <w:t>Leevenduste rakendamine</w:t>
      </w:r>
    </w:p>
    <w:p w14:paraId="3EBB68BD" w14:textId="77777777" w:rsidR="00B731C3" w:rsidRDefault="00B731C3" w:rsidP="00B731C3">
      <w:pPr>
        <w:pStyle w:val="muudetavtekst"/>
        <w:rPr>
          <w:rFonts w:asciiTheme="minorHAnsi" w:hAnsiTheme="minorHAnsi" w:cstheme="minorBidi"/>
        </w:rPr>
      </w:pPr>
      <w:r>
        <w:rPr>
          <w:rFonts w:asciiTheme="minorHAnsi" w:hAnsiTheme="minorHAnsi" w:cstheme="minorBidi"/>
        </w:rPr>
        <w:t xml:space="preserve">Leevendused nagu kliimatingimused ja teenuse tasemed võimaldavad avalikul sektoril olla paindlikum eesmärkide täitmisel. </w:t>
      </w:r>
      <w:r w:rsidRPr="57490200">
        <w:rPr>
          <w:rFonts w:asciiTheme="minorHAnsi" w:hAnsiTheme="minorHAnsi" w:cstheme="minorBidi"/>
        </w:rPr>
        <w:t>Leevenduste rakendamine ja arvutamine ei ole iga avaliku sektori asututusse kohustus</w:t>
      </w:r>
      <w:r>
        <w:rPr>
          <w:rFonts w:asciiTheme="minorHAnsi" w:hAnsiTheme="minorHAnsi" w:cstheme="minorBidi"/>
        </w:rPr>
        <w:t>, vaid seda tehakse sektorite, valdkondade või piirkonna põhjal. Näiteks ei arvestata energia suhet kasulikku üldpõrandapinda iga kooli kohta eraldi, vaid tasa-arvutus tehakse, kui kõigi koolide energiatarbimine ning kasulik üldpõrandapind on teada</w:t>
      </w:r>
      <w:r w:rsidRPr="57490200">
        <w:rPr>
          <w:rFonts w:asciiTheme="minorHAnsi" w:hAnsiTheme="minorHAnsi" w:cstheme="minorBidi"/>
        </w:rPr>
        <w:t xml:space="preserve">. </w:t>
      </w:r>
      <w:r>
        <w:rPr>
          <w:rFonts w:asciiTheme="minorHAnsi" w:hAnsiTheme="minorHAnsi" w:cstheme="minorBidi"/>
        </w:rPr>
        <w:t>Kliimatingimusi arvestades (kraadpäevade kasutamine) tuleb seda teha igal aastal, mitte ainult siis, kui on külm talv. L</w:t>
      </w:r>
      <w:r w:rsidRPr="57490200">
        <w:rPr>
          <w:rFonts w:asciiTheme="minorHAnsi" w:hAnsiTheme="minorHAnsi" w:cstheme="minorBidi"/>
        </w:rPr>
        <w:t xml:space="preserve">eevendusmeetmeid tuleb </w:t>
      </w:r>
      <w:r>
        <w:rPr>
          <w:rFonts w:asciiTheme="minorHAnsi" w:hAnsiTheme="minorHAnsi" w:cstheme="minorBidi"/>
        </w:rPr>
        <w:t>rakendada</w:t>
      </w:r>
      <w:r w:rsidRPr="57490200">
        <w:rPr>
          <w:rFonts w:asciiTheme="minorHAnsi" w:hAnsiTheme="minorHAnsi" w:cstheme="minorBidi"/>
        </w:rPr>
        <w:t xml:space="preserve"> kogu raporteerimise aja jooksul (aastani 2030).</w:t>
      </w:r>
    </w:p>
    <w:p w14:paraId="36ADEB6F" w14:textId="77777777" w:rsidR="00B731C3" w:rsidRDefault="00B731C3" w:rsidP="00B731C3">
      <w:pPr>
        <w:pStyle w:val="muudetavtekst"/>
        <w:rPr>
          <w:rFonts w:asciiTheme="minorHAnsi" w:hAnsiTheme="minorHAnsi" w:cstheme="minorHAnsi"/>
        </w:rPr>
      </w:pPr>
      <w:r>
        <w:rPr>
          <w:rFonts w:asciiTheme="minorHAnsi" w:hAnsiTheme="minorHAnsi" w:cstheme="minorBidi"/>
        </w:rPr>
        <w:t xml:space="preserve">Tasaarveldusi teeb ja hindab TTJA </w:t>
      </w:r>
      <w:r w:rsidRPr="57490200">
        <w:rPr>
          <w:rFonts w:asciiTheme="minorHAnsi" w:hAnsiTheme="minorHAnsi" w:cstheme="minorBidi"/>
        </w:rPr>
        <w:t>kui avaliku sektori energiasäästu koordinaator</w:t>
      </w:r>
      <w:r>
        <w:rPr>
          <w:rFonts w:asciiTheme="minorHAnsi" w:hAnsiTheme="minorHAnsi" w:cstheme="minorBidi"/>
        </w:rPr>
        <w:t>.</w:t>
      </w:r>
    </w:p>
    <w:p w14:paraId="492DD3D2" w14:textId="77777777" w:rsidR="00B731C3" w:rsidRPr="00BD5F4F" w:rsidRDefault="00B731C3" w:rsidP="00B731C3">
      <w:pPr>
        <w:pStyle w:val="muudetavtekst"/>
        <w:rPr>
          <w:rFonts w:asciiTheme="minorHAnsi" w:hAnsiTheme="minorHAnsi" w:cstheme="minorHAnsi"/>
        </w:rPr>
      </w:pPr>
    </w:p>
    <w:p w14:paraId="7E23F89A" w14:textId="77777777" w:rsidR="00B731C3" w:rsidRDefault="00B731C3" w:rsidP="00B731C3">
      <w:pPr>
        <w:pStyle w:val="muudetavtekst"/>
        <w:rPr>
          <w:rFonts w:asciiTheme="minorHAnsi" w:hAnsiTheme="minorHAnsi" w:cstheme="minorBidi"/>
          <w:u w:val="single"/>
        </w:rPr>
      </w:pPr>
    </w:p>
    <w:p w14:paraId="45051991" w14:textId="77777777" w:rsidR="00B731C3" w:rsidRDefault="00B731C3" w:rsidP="00B731C3">
      <w:pPr>
        <w:pStyle w:val="muudetavtekst"/>
        <w:rPr>
          <w:rFonts w:asciiTheme="minorHAnsi" w:hAnsiTheme="minorHAnsi" w:cstheme="minorHAnsi"/>
        </w:rPr>
      </w:pPr>
      <w:r w:rsidRPr="00253CBE">
        <w:rPr>
          <w:rFonts w:asciiTheme="minorHAnsi" w:hAnsiTheme="minorHAnsi" w:cstheme="minorHAnsi"/>
          <w:b/>
          <w:bCs/>
        </w:rPr>
        <w:t xml:space="preserve">Punktiga </w:t>
      </w:r>
      <w:r>
        <w:rPr>
          <w:rFonts w:asciiTheme="minorHAnsi" w:hAnsiTheme="minorHAnsi" w:cstheme="minorHAnsi"/>
          <w:b/>
          <w:bCs/>
        </w:rPr>
        <w:t>18</w:t>
      </w:r>
      <w:r>
        <w:rPr>
          <w:rFonts w:asciiTheme="minorHAnsi" w:hAnsiTheme="minorHAnsi" w:cstheme="minorHAnsi"/>
        </w:rPr>
        <w:t xml:space="preserve"> asendatakse EnKSi </w:t>
      </w:r>
      <w:r w:rsidRPr="57490200">
        <w:rPr>
          <w:rFonts w:asciiTheme="minorHAnsi" w:hAnsiTheme="minorHAnsi" w:cstheme="minorBidi"/>
        </w:rPr>
        <w:t>§</w:t>
      </w:r>
      <w:r>
        <w:rPr>
          <w:rFonts w:asciiTheme="minorHAnsi" w:hAnsiTheme="minorHAnsi" w:cstheme="minorBidi"/>
        </w:rPr>
        <w:t>-s</w:t>
      </w:r>
      <w:r>
        <w:rPr>
          <w:rFonts w:asciiTheme="minorHAnsi" w:hAnsiTheme="minorHAnsi" w:cstheme="minorHAnsi"/>
        </w:rPr>
        <w:t xml:space="preserve"> 5 sõna „keskvalitsus“ sõnadega „avaliku sektori asutus“ vastavas käändes. Tegemist tehnilise muudatusega. Paragrahv käsiteleb a</w:t>
      </w:r>
      <w:r w:rsidRPr="003B2366">
        <w:rPr>
          <w:rFonts w:asciiTheme="minorHAnsi" w:hAnsiTheme="minorHAnsi" w:cstheme="minorHAnsi"/>
        </w:rPr>
        <w:t>valiku sektori asutuste hoonete energiatõhususe parandami</w:t>
      </w:r>
      <w:r>
        <w:rPr>
          <w:rFonts w:asciiTheme="minorHAnsi" w:hAnsiTheme="minorHAnsi" w:cstheme="minorHAnsi"/>
        </w:rPr>
        <w:t>st, seni on see piirdunud vaid keskvalitsusega, kuid eelnõuga laiendatakse kohuslaste ringi.</w:t>
      </w:r>
    </w:p>
    <w:p w14:paraId="6FB29F9F" w14:textId="77777777" w:rsidR="00B731C3" w:rsidRDefault="00B731C3" w:rsidP="00B731C3">
      <w:pPr>
        <w:pStyle w:val="muudetavtekst"/>
        <w:rPr>
          <w:rFonts w:asciiTheme="minorHAnsi" w:hAnsiTheme="minorHAnsi" w:cstheme="minorHAnsi"/>
        </w:rPr>
      </w:pPr>
    </w:p>
    <w:p w14:paraId="32A28FB2" w14:textId="77777777" w:rsidR="00B731C3" w:rsidRDefault="00B731C3" w:rsidP="00B731C3">
      <w:pPr>
        <w:pStyle w:val="muudetavtekst"/>
        <w:rPr>
          <w:rFonts w:asciiTheme="minorHAnsi" w:hAnsiTheme="minorHAnsi" w:cstheme="minorHAnsi"/>
        </w:rPr>
      </w:pPr>
      <w:r w:rsidRPr="00253CBE">
        <w:rPr>
          <w:rFonts w:asciiTheme="minorHAnsi" w:hAnsiTheme="minorHAnsi" w:cstheme="minorHAnsi"/>
          <w:b/>
          <w:bCs/>
        </w:rPr>
        <w:t xml:space="preserve">Punktiga </w:t>
      </w:r>
      <w:r>
        <w:rPr>
          <w:rFonts w:asciiTheme="minorHAnsi" w:hAnsiTheme="minorHAnsi" w:cstheme="minorHAnsi"/>
          <w:b/>
          <w:bCs/>
        </w:rPr>
        <w:t>19</w:t>
      </w:r>
      <w:r>
        <w:rPr>
          <w:rFonts w:asciiTheme="minorHAnsi" w:hAnsiTheme="minorHAnsi" w:cstheme="minorHAnsi"/>
        </w:rPr>
        <w:t xml:space="preserve"> muudetakse EnKSi </w:t>
      </w:r>
      <w:r w:rsidRPr="57490200">
        <w:rPr>
          <w:rFonts w:asciiTheme="minorHAnsi" w:hAnsiTheme="minorHAnsi" w:cstheme="minorBidi"/>
        </w:rPr>
        <w:t>§</w:t>
      </w:r>
      <w:r>
        <w:rPr>
          <w:rFonts w:asciiTheme="minorHAnsi" w:hAnsiTheme="minorHAnsi" w:cstheme="minorHAnsi"/>
        </w:rPr>
        <w:t xml:space="preserve"> 5 lõikeid 1 ja 2.</w:t>
      </w:r>
    </w:p>
    <w:p w14:paraId="216F8019" w14:textId="77777777" w:rsidR="00B731C3" w:rsidRDefault="00B731C3" w:rsidP="00B731C3">
      <w:pPr>
        <w:pStyle w:val="muudetavtekst"/>
        <w:rPr>
          <w:rFonts w:asciiTheme="minorHAnsi" w:hAnsiTheme="minorHAnsi" w:cstheme="minorBidi"/>
        </w:rPr>
      </w:pPr>
      <w:r>
        <w:rPr>
          <w:rFonts w:asciiTheme="minorHAnsi" w:hAnsiTheme="minorHAnsi" w:cstheme="minorBidi"/>
        </w:rPr>
        <w:t>L</w:t>
      </w:r>
      <w:r w:rsidRPr="490A73E8">
        <w:rPr>
          <w:rFonts w:asciiTheme="minorHAnsi" w:hAnsiTheme="minorHAnsi" w:cstheme="minorBidi"/>
        </w:rPr>
        <w:t>õi</w:t>
      </w:r>
      <w:r>
        <w:rPr>
          <w:rFonts w:asciiTheme="minorHAnsi" w:hAnsiTheme="minorHAnsi" w:cstheme="minorBidi"/>
        </w:rPr>
        <w:t>kes</w:t>
      </w:r>
      <w:r w:rsidRPr="490A73E8">
        <w:rPr>
          <w:rFonts w:asciiTheme="minorHAnsi" w:hAnsiTheme="minorHAnsi" w:cstheme="minorBidi"/>
        </w:rPr>
        <w:t xml:space="preserve"> 1 asendatakse sõna </w:t>
      </w:r>
      <w:r>
        <w:rPr>
          <w:rFonts w:asciiTheme="minorHAnsi" w:hAnsiTheme="minorHAnsi" w:cstheme="minorBidi"/>
        </w:rPr>
        <w:t>„</w:t>
      </w:r>
      <w:r w:rsidRPr="490A73E8">
        <w:rPr>
          <w:rFonts w:asciiTheme="minorHAnsi" w:hAnsiTheme="minorHAnsi" w:cstheme="minorBidi"/>
        </w:rPr>
        <w:t>keskvalitsus</w:t>
      </w:r>
      <w:r>
        <w:rPr>
          <w:rFonts w:asciiTheme="minorHAnsi" w:hAnsiTheme="minorHAnsi" w:cstheme="minorBidi"/>
        </w:rPr>
        <w:t>“</w:t>
      </w:r>
      <w:r w:rsidRPr="490A73E8">
        <w:rPr>
          <w:rFonts w:asciiTheme="minorHAnsi" w:hAnsiTheme="minorHAnsi" w:cstheme="minorBidi"/>
        </w:rPr>
        <w:t xml:space="preserve"> sõnadega „avaliku sektori asutus“. </w:t>
      </w:r>
      <w:r>
        <w:rPr>
          <w:rFonts w:asciiTheme="minorHAnsi" w:hAnsiTheme="minorHAnsi" w:cstheme="minorBidi"/>
        </w:rPr>
        <w:t xml:space="preserve">Lõikega võetakse üle ka direktiivi artikkel 6 lõige 1(1). </w:t>
      </w:r>
      <w:r w:rsidRPr="490A73E8">
        <w:rPr>
          <w:rFonts w:asciiTheme="minorHAnsi" w:hAnsiTheme="minorHAnsi" w:cstheme="minorBidi"/>
        </w:rPr>
        <w:t>Täiendatakse, kes täidavad eri valdkondades koordinaatori roll</w:t>
      </w:r>
      <w:r>
        <w:rPr>
          <w:rFonts w:asciiTheme="minorHAnsi" w:hAnsiTheme="minorHAnsi" w:cstheme="minorBidi"/>
        </w:rPr>
        <w:t>i</w:t>
      </w:r>
      <w:r w:rsidRPr="490A73E8">
        <w:rPr>
          <w:rFonts w:asciiTheme="minorHAnsi" w:hAnsiTheme="minorHAnsi" w:cstheme="minorBidi"/>
        </w:rPr>
        <w:t>. Keskvalitsuse puhul jätkab selles rollis Rahandusministeerium, kohalike omavalitsuste puhul koordineerib hooneid Regionaal- ja Põllumajandusministeerium ning teistes valdkondades</w:t>
      </w:r>
      <w:r>
        <w:rPr>
          <w:rFonts w:asciiTheme="minorHAnsi" w:hAnsiTheme="minorHAnsi" w:cstheme="minorBidi"/>
        </w:rPr>
        <w:t>,</w:t>
      </w:r>
      <w:r w:rsidRPr="490A73E8">
        <w:rPr>
          <w:rFonts w:asciiTheme="minorHAnsi" w:hAnsiTheme="minorHAnsi" w:cstheme="minorBidi"/>
        </w:rPr>
        <w:t xml:space="preserve"> näiteks haiglad ja ülikoolid</w:t>
      </w:r>
      <w:r>
        <w:rPr>
          <w:rFonts w:asciiTheme="minorHAnsi" w:hAnsiTheme="minorHAnsi" w:cstheme="minorBidi"/>
        </w:rPr>
        <w:t>,</w:t>
      </w:r>
      <w:r w:rsidRPr="490A73E8">
        <w:rPr>
          <w:rFonts w:asciiTheme="minorHAnsi" w:hAnsiTheme="minorHAnsi" w:cstheme="minorBidi"/>
        </w:rPr>
        <w:t xml:space="preserve"> TTJA.</w:t>
      </w:r>
    </w:p>
    <w:p w14:paraId="4D921027" w14:textId="77777777" w:rsidR="00B731C3" w:rsidRDefault="00B731C3" w:rsidP="00B731C3">
      <w:pPr>
        <w:pStyle w:val="muudetavtekst"/>
        <w:rPr>
          <w:rFonts w:asciiTheme="minorHAnsi" w:hAnsiTheme="minorHAnsi" w:cstheme="minorBidi"/>
        </w:rPr>
      </w:pPr>
      <w:r w:rsidRPr="490A73E8">
        <w:rPr>
          <w:rFonts w:asciiTheme="minorHAnsi" w:hAnsiTheme="minorHAnsi" w:cstheme="minorBidi"/>
        </w:rPr>
        <w:t>Rollide jaotamise lähtuti</w:t>
      </w:r>
      <w:r>
        <w:rPr>
          <w:rFonts w:asciiTheme="minorHAnsi" w:hAnsiTheme="minorHAnsi" w:cstheme="minorBidi"/>
        </w:rPr>
        <w:t xml:space="preserve"> sellest,</w:t>
      </w:r>
      <w:r w:rsidRPr="490A73E8">
        <w:rPr>
          <w:rFonts w:asciiTheme="minorHAnsi" w:hAnsiTheme="minorHAnsi" w:cstheme="minorBidi"/>
        </w:rPr>
        <w:t xml:space="preserve"> et keskvalitsuse koordineerimine on juba hästi korraldatud Rahandusministeeriumil. Kohalike omavalituste teemasid koordineerib juba Regionaal- ja </w:t>
      </w:r>
      <w:r w:rsidRPr="490A73E8">
        <w:rPr>
          <w:rFonts w:asciiTheme="minorHAnsi" w:hAnsiTheme="minorHAnsi" w:cstheme="minorBidi"/>
        </w:rPr>
        <w:lastRenderedPageBreak/>
        <w:t>Põllumajandusministeerium, kelle eestvedamisel on olemas ülevaade ka kohalike omavalituste hoonetest „Minu omavalitsus“ lehel</w:t>
      </w:r>
      <w:r w:rsidRPr="490A73E8">
        <w:rPr>
          <w:rStyle w:val="Allmrkuseviide"/>
          <w:rFonts w:asciiTheme="minorHAnsi" w:hAnsiTheme="minorHAnsi" w:cstheme="minorBidi"/>
        </w:rPr>
        <w:footnoteReference w:id="35"/>
      </w:r>
      <w:r w:rsidRPr="490A73E8">
        <w:rPr>
          <w:rFonts w:asciiTheme="minorHAnsi" w:hAnsiTheme="minorHAnsi" w:cstheme="minorBidi"/>
        </w:rPr>
        <w:t>. Ülejäänud valdkonnad jäid TTJA-le</w:t>
      </w:r>
      <w:r>
        <w:rPr>
          <w:rFonts w:asciiTheme="minorHAnsi" w:hAnsiTheme="minorHAnsi" w:cstheme="minorBidi"/>
        </w:rPr>
        <w:t>,</w:t>
      </w:r>
      <w:r w:rsidRPr="490A73E8">
        <w:rPr>
          <w:rFonts w:asciiTheme="minorHAnsi" w:hAnsiTheme="minorHAnsi" w:cstheme="minorBidi"/>
        </w:rPr>
        <w:t xml:space="preserve"> kes juba te</w:t>
      </w:r>
      <w:r>
        <w:rPr>
          <w:rFonts w:asciiTheme="minorHAnsi" w:hAnsiTheme="minorHAnsi" w:cstheme="minorBidi"/>
        </w:rPr>
        <w:t>eb</w:t>
      </w:r>
      <w:r w:rsidRPr="490A73E8">
        <w:rPr>
          <w:rFonts w:asciiTheme="minorHAnsi" w:hAnsiTheme="minorHAnsi" w:cstheme="minorBidi"/>
        </w:rPr>
        <w:t xml:space="preserve"> hoonete energiatõhususe järelevalvet ja kelle</w:t>
      </w:r>
      <w:r>
        <w:rPr>
          <w:rFonts w:asciiTheme="minorHAnsi" w:hAnsiTheme="minorHAnsi" w:cstheme="minorBidi"/>
        </w:rPr>
        <w:t>st</w:t>
      </w:r>
      <w:r w:rsidRPr="490A73E8">
        <w:rPr>
          <w:rFonts w:asciiTheme="minorHAnsi" w:hAnsiTheme="minorHAnsi" w:cstheme="minorBidi"/>
        </w:rPr>
        <w:t xml:space="preserve"> saab ka avaliku sektori energiasäästu koordinaator.</w:t>
      </w:r>
    </w:p>
    <w:p w14:paraId="77829689" w14:textId="77777777" w:rsidR="00B731C3" w:rsidRDefault="00B731C3" w:rsidP="00B731C3">
      <w:pPr>
        <w:pStyle w:val="muudetavtekst"/>
        <w:rPr>
          <w:rFonts w:asciiTheme="minorHAnsi" w:hAnsiTheme="minorHAnsi" w:cstheme="minorBidi"/>
        </w:rPr>
      </w:pPr>
      <w:r>
        <w:rPr>
          <w:rFonts w:asciiTheme="minorHAnsi" w:hAnsiTheme="minorHAnsi" w:cstheme="minorBidi"/>
        </w:rPr>
        <w:t>L</w:t>
      </w:r>
      <w:r w:rsidRPr="490A73E8">
        <w:rPr>
          <w:rFonts w:asciiTheme="minorHAnsi" w:hAnsiTheme="minorHAnsi" w:cstheme="minorBidi"/>
        </w:rPr>
        <w:t>õige 2 sätestab avaliku sektori hoonete rekonstrueerimisvajaduse (3%), fikseerib põrandapinna, mis ei vasta oluliselt rekonstrueeritavate hoone energiatõhususe miinimumnõude baastasemele (01.01.2024 seis).</w:t>
      </w:r>
      <w:r>
        <w:rPr>
          <w:rFonts w:asciiTheme="minorHAnsi" w:hAnsiTheme="minorHAnsi" w:cstheme="minorBidi"/>
        </w:rPr>
        <w:t xml:space="preserve"> Lõikega võetakse üle direktiivi artikkel 6 lõiked 1(1), 1(5)</w:t>
      </w:r>
    </w:p>
    <w:p w14:paraId="67D5F4F6" w14:textId="77777777" w:rsidR="00B731C3" w:rsidRDefault="00B731C3" w:rsidP="00B731C3">
      <w:pPr>
        <w:pStyle w:val="muudetavtekst"/>
        <w:rPr>
          <w:rFonts w:asciiTheme="minorHAnsi" w:hAnsiTheme="minorHAnsi" w:cstheme="minorBidi"/>
        </w:rPr>
      </w:pPr>
      <w:r w:rsidRPr="490A73E8">
        <w:rPr>
          <w:rFonts w:asciiTheme="minorHAnsi" w:hAnsiTheme="minorHAnsi" w:cstheme="minorBidi"/>
        </w:rPr>
        <w:t>Ruutmeetrites väljendatud iga-aastast renoveerimiseesmärki direktiivi (EL) 2023/1791 kehtivuse ajal ei muudeta. See on muudatus võrreldes eelmise direktiiviga 2012/27/EL, mille kohaselt aasta renoveerimiseesmärk tuli arvutada igal aastal, võttes aluseks põrandapinna, mis ei vastanud riiklikele energiatõhususe miinimumnõuetele. Var</w:t>
      </w:r>
      <w:r>
        <w:rPr>
          <w:rFonts w:asciiTheme="minorHAnsi" w:hAnsiTheme="minorHAnsi" w:cstheme="minorBidi"/>
        </w:rPr>
        <w:t>em</w:t>
      </w:r>
      <w:r w:rsidRPr="490A73E8">
        <w:rPr>
          <w:rFonts w:asciiTheme="minorHAnsi" w:hAnsiTheme="minorHAnsi" w:cstheme="minorBidi"/>
        </w:rPr>
        <w:t xml:space="preserve"> arvutaski keskvalitsus (Rahandusministeerium, kellel oli rekonstrueerimise kohutus) igal aastal mahud uuesti kinnisvaraportfellis olevate hoonete hulga</w:t>
      </w:r>
      <w:r>
        <w:rPr>
          <w:rFonts w:asciiTheme="minorHAnsi" w:hAnsiTheme="minorHAnsi" w:cstheme="minorBidi"/>
        </w:rPr>
        <w:t xml:space="preserve"> järgi</w:t>
      </w:r>
      <w:r w:rsidRPr="490A73E8">
        <w:rPr>
          <w:rFonts w:asciiTheme="minorHAnsi" w:hAnsiTheme="minorHAnsi" w:cstheme="minorBidi"/>
        </w:rPr>
        <w:t xml:space="preserve">. Muudatus toob kaasa selle, et iga-aastane renoveerimismäär on oluliselt </w:t>
      </w:r>
      <w:r>
        <w:rPr>
          <w:rFonts w:asciiTheme="minorHAnsi" w:hAnsiTheme="minorHAnsi" w:cstheme="minorBidi"/>
        </w:rPr>
        <w:t>suurem</w:t>
      </w:r>
      <w:r>
        <w:rPr>
          <w:rStyle w:val="Allmrkuseviide"/>
          <w:rFonts w:asciiTheme="minorHAnsi" w:hAnsiTheme="minorHAnsi" w:cstheme="minorBidi"/>
        </w:rPr>
        <w:footnoteReference w:id="36"/>
      </w:r>
      <w:r w:rsidRPr="490A73E8">
        <w:rPr>
          <w:rFonts w:asciiTheme="minorHAnsi" w:hAnsiTheme="minorHAnsi" w:cstheme="minorBidi"/>
        </w:rPr>
        <w:t>, kui see oli var</w:t>
      </w:r>
      <w:r>
        <w:rPr>
          <w:rFonts w:asciiTheme="minorHAnsi" w:hAnsiTheme="minorHAnsi" w:cstheme="minorBidi"/>
        </w:rPr>
        <w:t>em</w:t>
      </w:r>
      <w:r w:rsidRPr="490A73E8">
        <w:rPr>
          <w:rFonts w:asciiTheme="minorHAnsi" w:hAnsiTheme="minorHAnsi" w:cstheme="minorBidi"/>
        </w:rPr>
        <w:t xml:space="preserve">. </w:t>
      </w:r>
      <w:r>
        <w:rPr>
          <w:rFonts w:asciiTheme="minorHAnsi" w:hAnsiTheme="minorHAnsi" w:cstheme="minorBidi"/>
        </w:rPr>
        <w:t>Kuna</w:t>
      </w:r>
      <w:r w:rsidRPr="490A73E8">
        <w:rPr>
          <w:rFonts w:asciiTheme="minorHAnsi" w:hAnsiTheme="minorHAnsi" w:cstheme="minorBidi"/>
        </w:rPr>
        <w:t xml:space="preserve"> esimese aruandeperioodi lõpuks</w:t>
      </w:r>
      <w:r>
        <w:rPr>
          <w:rFonts w:asciiTheme="minorHAnsi" w:hAnsiTheme="minorHAnsi" w:cstheme="minorBidi"/>
        </w:rPr>
        <w:t xml:space="preserve"> (11.10.2025)</w:t>
      </w:r>
      <w:r w:rsidRPr="490A73E8">
        <w:rPr>
          <w:rFonts w:asciiTheme="minorHAnsi" w:hAnsiTheme="minorHAnsi" w:cstheme="minorBidi"/>
        </w:rPr>
        <w:t xml:space="preserve"> kehtestatud võrdlusalust</w:t>
      </w:r>
      <w:r>
        <w:rPr>
          <w:rFonts w:asciiTheme="minorHAnsi" w:hAnsiTheme="minorHAnsi" w:cstheme="minorBidi"/>
        </w:rPr>
        <w:t xml:space="preserve"> (01.01.2024 baastase)</w:t>
      </w:r>
      <w:r w:rsidRPr="490A73E8">
        <w:rPr>
          <w:rFonts w:asciiTheme="minorHAnsi" w:hAnsiTheme="minorHAnsi" w:cstheme="minorBidi"/>
        </w:rPr>
        <w:t xml:space="preserve"> ja selle</w:t>
      </w:r>
      <w:r>
        <w:rPr>
          <w:rFonts w:asciiTheme="minorHAnsi" w:hAnsiTheme="minorHAnsi" w:cstheme="minorBidi"/>
        </w:rPr>
        <w:t xml:space="preserve"> põhjal arvutatud</w:t>
      </w:r>
      <w:r w:rsidRPr="490A73E8">
        <w:rPr>
          <w:rFonts w:asciiTheme="minorHAnsi" w:hAnsiTheme="minorHAnsi" w:cstheme="minorBidi"/>
        </w:rPr>
        <w:t xml:space="preserve"> iga-aastast renoveerimiseesmärki ei tule hoonete müümisel, lammutamisel, omandamisel või ehitamisel ajakohastada.</w:t>
      </w:r>
    </w:p>
    <w:p w14:paraId="1623707D" w14:textId="77777777" w:rsidR="00B731C3" w:rsidRDefault="00B731C3" w:rsidP="00B731C3">
      <w:pPr>
        <w:pStyle w:val="muudetavtekst"/>
        <w:rPr>
          <w:rFonts w:asciiTheme="minorHAnsi" w:hAnsiTheme="minorHAnsi" w:cstheme="minorBidi"/>
        </w:rPr>
      </w:pPr>
    </w:p>
    <w:p w14:paraId="689F2D32" w14:textId="77777777" w:rsidR="00B731C3" w:rsidRPr="006128C4" w:rsidRDefault="00B731C3" w:rsidP="00B731C3">
      <w:pPr>
        <w:pStyle w:val="muudetavtekst"/>
        <w:rPr>
          <w:rFonts w:asciiTheme="minorHAnsi" w:hAnsiTheme="minorHAnsi" w:cstheme="minorBidi"/>
          <w:u w:val="single"/>
        </w:rPr>
      </w:pPr>
      <w:r w:rsidRPr="006128C4">
        <w:rPr>
          <w:rFonts w:asciiTheme="minorHAnsi" w:hAnsiTheme="minorHAnsi" w:cstheme="minorBidi"/>
          <w:u w:val="single"/>
        </w:rPr>
        <w:t>Taust</w:t>
      </w:r>
    </w:p>
    <w:p w14:paraId="3D95C370" w14:textId="77777777" w:rsidR="00B731C3" w:rsidRDefault="00B731C3" w:rsidP="00B731C3">
      <w:pPr>
        <w:pStyle w:val="muudetavtekst"/>
        <w:rPr>
          <w:rFonts w:asciiTheme="minorHAnsi" w:hAnsiTheme="minorHAnsi" w:cstheme="minorBidi"/>
        </w:rPr>
      </w:pPr>
      <w:r w:rsidRPr="57490200">
        <w:rPr>
          <w:rFonts w:asciiTheme="minorHAnsi" w:hAnsiTheme="minorHAnsi" w:cstheme="minorBidi"/>
        </w:rPr>
        <w:t>Energiatõhususe direktiiv laiendab avaliku sekotri asutuste mõistet ja seeläbi ka nende kohustusi. Lisaks üldisele energiatõhususe kokkuhoiule</w:t>
      </w:r>
      <w:r>
        <w:rPr>
          <w:rFonts w:asciiTheme="minorHAnsi" w:hAnsiTheme="minorHAnsi" w:cstheme="minorBidi"/>
        </w:rPr>
        <w:t xml:space="preserve"> </w:t>
      </w:r>
      <w:r w:rsidRPr="57490200">
        <w:rPr>
          <w:rFonts w:asciiTheme="minorHAnsi" w:hAnsiTheme="minorHAnsi" w:cstheme="minorBidi"/>
        </w:rPr>
        <w:t xml:space="preserve">on </w:t>
      </w:r>
      <w:r>
        <w:rPr>
          <w:rFonts w:asciiTheme="minorHAnsi" w:hAnsiTheme="minorHAnsi" w:cstheme="minorBidi"/>
        </w:rPr>
        <w:t>ka</w:t>
      </w:r>
      <w:r w:rsidRPr="57490200">
        <w:rPr>
          <w:rFonts w:asciiTheme="minorHAnsi" w:hAnsiTheme="minorHAnsi" w:cstheme="minorBidi"/>
        </w:rPr>
        <w:t xml:space="preserve"> eesmärgid avaliku sektori </w:t>
      </w:r>
      <w:r>
        <w:rPr>
          <w:rFonts w:asciiTheme="minorHAnsi" w:hAnsiTheme="minorHAnsi" w:cstheme="minorBidi"/>
        </w:rPr>
        <w:t xml:space="preserve">eri </w:t>
      </w:r>
      <w:r w:rsidRPr="57490200">
        <w:rPr>
          <w:rFonts w:asciiTheme="minorHAnsi" w:hAnsiTheme="minorHAnsi" w:cstheme="minorBidi"/>
        </w:rPr>
        <w:t>asutuste kinnisvarale. Avalik sektor ei ole enam vaid keskvalitsus, vaid see laieneb ka kohaliku omavalitusse asutustele, ülikoolidele, haiglatele jt. Uue nõude järgi peab iga aasta rekonstrueerima 3% avaliku sektori omanduses olevast üle 250 m</w:t>
      </w:r>
      <w:r w:rsidRPr="57490200">
        <w:rPr>
          <w:rFonts w:asciiTheme="minorHAnsi" w:hAnsiTheme="minorHAnsi" w:cstheme="minorBidi"/>
          <w:vertAlign w:val="superscript"/>
        </w:rPr>
        <w:t>2</w:t>
      </w:r>
      <w:r w:rsidRPr="57490200">
        <w:rPr>
          <w:rFonts w:asciiTheme="minorHAnsi" w:hAnsiTheme="minorHAnsi" w:cstheme="minorBidi"/>
        </w:rPr>
        <w:t xml:space="preserve"> üldpõrandapinnaga</w:t>
      </w:r>
      <w:r>
        <w:rPr>
          <w:rStyle w:val="Allmrkuseviide"/>
          <w:rFonts w:asciiTheme="minorHAnsi" w:hAnsiTheme="minorHAnsi" w:cstheme="minorBidi"/>
        </w:rPr>
        <w:footnoteReference w:id="37"/>
      </w:r>
      <w:r w:rsidRPr="57490200">
        <w:rPr>
          <w:rFonts w:asciiTheme="minorHAnsi" w:hAnsiTheme="minorHAnsi" w:cstheme="minorBidi"/>
        </w:rPr>
        <w:t xml:space="preserve"> hoonetest. Nõue kehtib hoonetele, kus on tagatud </w:t>
      </w:r>
      <w:r>
        <w:rPr>
          <w:rFonts w:asciiTheme="minorHAnsi" w:hAnsiTheme="minorHAnsi" w:cstheme="minorBidi"/>
        </w:rPr>
        <w:t xml:space="preserve">reguleeritav </w:t>
      </w:r>
      <w:r w:rsidRPr="57490200">
        <w:rPr>
          <w:rFonts w:asciiTheme="minorHAnsi" w:hAnsiTheme="minorHAnsi" w:cstheme="minorBidi"/>
        </w:rPr>
        <w:t>sisekliima (sh temperatuuri hoidmiseks, tõstmiseks või langetamiseks) ja mis ei vastanud 01.01.2024 seisuga energiatõhususe miinimumnõuetele.</w:t>
      </w:r>
    </w:p>
    <w:p w14:paraId="35776539" w14:textId="77777777" w:rsidR="00B731C3" w:rsidRDefault="00B731C3" w:rsidP="00B731C3">
      <w:pPr>
        <w:pStyle w:val="muudetavtekst"/>
        <w:rPr>
          <w:rFonts w:asciiTheme="minorHAnsi" w:hAnsiTheme="minorHAnsi" w:cstheme="minorBidi"/>
        </w:rPr>
      </w:pPr>
    </w:p>
    <w:p w14:paraId="407304C3" w14:textId="77777777" w:rsidR="00B731C3" w:rsidRDefault="00B731C3" w:rsidP="00B731C3">
      <w:pPr>
        <w:pStyle w:val="muudetavtekst"/>
        <w:rPr>
          <w:rFonts w:asciiTheme="minorHAnsi" w:hAnsiTheme="minorHAnsi" w:cstheme="minorBidi"/>
        </w:rPr>
      </w:pPr>
      <w:r w:rsidRPr="57490200">
        <w:rPr>
          <w:rFonts w:asciiTheme="minorHAnsi" w:hAnsiTheme="minorHAnsi" w:cstheme="minorBidi"/>
        </w:rPr>
        <w:t xml:space="preserve">Direktiiv sõnastab rekonstrueerimise eesmärgi liginullenergia hoonena, kuid Euroopa Komisjon rõhutab, et liginullenergia hoone </w:t>
      </w:r>
      <w:r>
        <w:rPr>
          <w:rFonts w:asciiTheme="minorHAnsi" w:hAnsiTheme="minorHAnsi" w:cstheme="minorBidi"/>
        </w:rPr>
        <w:t>tähendab</w:t>
      </w:r>
      <w:r w:rsidRPr="57490200">
        <w:rPr>
          <w:rFonts w:asciiTheme="minorHAnsi" w:hAnsiTheme="minorHAnsi" w:cstheme="minorBidi"/>
        </w:rPr>
        <w:t xml:space="preserve"> kulutõhusust. Eesti õigusruumis saab rekonstrueerimist kulutõhusale liginullenergia hoone</w:t>
      </w:r>
      <w:r>
        <w:rPr>
          <w:rFonts w:asciiTheme="minorHAnsi" w:hAnsiTheme="minorHAnsi" w:cstheme="minorBidi"/>
        </w:rPr>
        <w:t>na</w:t>
      </w:r>
      <w:r w:rsidRPr="57490200">
        <w:rPr>
          <w:rFonts w:asciiTheme="minorHAnsi" w:hAnsiTheme="minorHAnsi" w:cstheme="minorBidi"/>
        </w:rPr>
        <w:t xml:space="preserve"> käsit</w:t>
      </w:r>
      <w:r>
        <w:rPr>
          <w:rFonts w:asciiTheme="minorHAnsi" w:hAnsiTheme="minorHAnsi" w:cstheme="minorBidi"/>
        </w:rPr>
        <w:t>a</w:t>
      </w:r>
      <w:r w:rsidRPr="57490200">
        <w:rPr>
          <w:rFonts w:asciiTheme="minorHAnsi" w:hAnsiTheme="minorHAnsi" w:cstheme="minorBidi"/>
        </w:rPr>
        <w:t>da kui olulise rekonstrueerimisena energiatõhususe miinimumnõutele</w:t>
      </w:r>
      <w:r>
        <w:rPr>
          <w:rFonts w:asciiTheme="minorHAnsi" w:hAnsiTheme="minorHAnsi" w:cstheme="minorBidi"/>
        </w:rPr>
        <w:t xml:space="preserve"> vastavaks</w:t>
      </w:r>
      <w:r w:rsidRPr="57490200">
        <w:rPr>
          <w:rFonts w:asciiTheme="minorHAnsi" w:hAnsiTheme="minorHAnsi" w:cstheme="minorBidi"/>
        </w:rPr>
        <w:t xml:space="preserve"> (vastab C-klassile).</w:t>
      </w:r>
    </w:p>
    <w:p w14:paraId="178A8A81" w14:textId="77777777" w:rsidR="00B731C3" w:rsidRDefault="00B731C3" w:rsidP="00B731C3">
      <w:pPr>
        <w:pStyle w:val="muudetavtekst"/>
        <w:rPr>
          <w:rFonts w:asciiTheme="minorHAnsi" w:hAnsiTheme="minorHAnsi" w:cstheme="minorBidi"/>
        </w:rPr>
      </w:pPr>
    </w:p>
    <w:p w14:paraId="38F02C4A" w14:textId="77777777" w:rsidR="00B731C3" w:rsidRDefault="00B731C3" w:rsidP="00B731C3">
      <w:pPr>
        <w:pStyle w:val="muudetavtekst"/>
        <w:rPr>
          <w:rFonts w:asciiTheme="minorHAnsi" w:hAnsiTheme="minorHAnsi" w:cstheme="minorBidi"/>
        </w:rPr>
      </w:pPr>
      <w:r w:rsidRPr="5621D634">
        <w:rPr>
          <w:rFonts w:asciiTheme="minorHAnsi" w:hAnsiTheme="minorHAnsi" w:cstheme="minorBidi"/>
        </w:rPr>
        <w:t>Iga</w:t>
      </w:r>
      <w:r>
        <w:rPr>
          <w:rFonts w:asciiTheme="minorHAnsi" w:hAnsiTheme="minorHAnsi" w:cstheme="minorBidi"/>
        </w:rPr>
        <w:t>-</w:t>
      </w:r>
      <w:r w:rsidRPr="5621D634">
        <w:rPr>
          <w:rFonts w:asciiTheme="minorHAnsi" w:hAnsiTheme="minorHAnsi" w:cstheme="minorBidi"/>
        </w:rPr>
        <w:t xml:space="preserve">aastane 3% rekonstrueerimiskohustus avaliku sektori asutuste omandis olevate hoonete üldpõrandapinnast arvutatakse kõigi avaliku sektori hoonete peale kokku. </w:t>
      </w:r>
      <w:r>
        <w:rPr>
          <w:rFonts w:asciiTheme="minorHAnsi" w:hAnsiTheme="minorHAnsi" w:cstheme="minorBidi"/>
        </w:rPr>
        <w:t>K</w:t>
      </w:r>
      <w:r w:rsidRPr="5621D634">
        <w:rPr>
          <w:rFonts w:asciiTheme="minorHAnsi" w:hAnsiTheme="minorHAnsi" w:cstheme="minorBidi"/>
        </w:rPr>
        <w:t>ohustus kehtib kõigile asutustele direktiivi kehtima hakkamisest (11.10.2025) ja s</w:t>
      </w:r>
      <w:r>
        <w:rPr>
          <w:rFonts w:asciiTheme="minorHAnsi" w:hAnsiTheme="minorHAnsi" w:cstheme="minorBidi"/>
        </w:rPr>
        <w:t>elles ei tehta erandeid</w:t>
      </w:r>
      <w:r w:rsidRPr="5621D634">
        <w:rPr>
          <w:rFonts w:asciiTheme="minorHAnsi" w:hAnsiTheme="minorHAnsi" w:cstheme="minorBidi"/>
        </w:rPr>
        <w:t xml:space="preserve"> väiksematele kohalikele omavalitsutele</w:t>
      </w:r>
      <w:r>
        <w:rPr>
          <w:rFonts w:asciiTheme="minorHAnsi" w:hAnsiTheme="minorHAnsi" w:cstheme="minorBidi"/>
        </w:rPr>
        <w:t>,</w:t>
      </w:r>
      <w:r w:rsidRPr="5621D634">
        <w:rPr>
          <w:rFonts w:asciiTheme="minorHAnsi" w:hAnsiTheme="minorHAnsi" w:cstheme="minorBidi"/>
        </w:rPr>
        <w:t xml:space="preserve"> nagu see oli avaliku sektori üldise energiasäästu kohustuse puhul.</w:t>
      </w:r>
    </w:p>
    <w:p w14:paraId="70DFD9EA" w14:textId="77777777" w:rsidR="00B731C3" w:rsidRDefault="00B731C3" w:rsidP="00B731C3">
      <w:pPr>
        <w:pStyle w:val="muudetavtekst"/>
        <w:rPr>
          <w:rFonts w:asciiTheme="minorHAnsi" w:hAnsiTheme="minorHAnsi" w:cstheme="minorHAnsi"/>
        </w:rPr>
      </w:pPr>
    </w:p>
    <w:p w14:paraId="56B7C757" w14:textId="77777777" w:rsidR="00B731C3" w:rsidRDefault="00B731C3" w:rsidP="00B731C3">
      <w:pPr>
        <w:pStyle w:val="muudetavtekst"/>
        <w:rPr>
          <w:rFonts w:asciiTheme="minorHAnsi" w:hAnsiTheme="minorHAnsi" w:cstheme="minorBidi"/>
        </w:rPr>
      </w:pPr>
      <w:r w:rsidRPr="5621D634">
        <w:rPr>
          <w:rFonts w:asciiTheme="minorHAnsi" w:hAnsiTheme="minorHAnsi" w:cstheme="minorBidi"/>
        </w:rPr>
        <w:t>Baastaseme fikseerimine (01.01.2024 seis) tähendab, et iga-aastane 3% renoveerimise eesmärk põhineb ühel kindlal väärtusel (võrdlusalusel) kogu rakendusperioodi</w:t>
      </w:r>
      <w:r>
        <w:rPr>
          <w:rFonts w:asciiTheme="minorHAnsi" w:hAnsiTheme="minorHAnsi" w:cstheme="minorBidi"/>
        </w:rPr>
        <w:t>l</w:t>
      </w:r>
      <w:r w:rsidRPr="5621D634">
        <w:rPr>
          <w:rFonts w:asciiTheme="minorHAnsi" w:hAnsiTheme="minorHAnsi" w:cstheme="minorBidi"/>
        </w:rPr>
        <w:t xml:space="preserve"> (2025. sügis–2030)</w:t>
      </w:r>
      <w:r>
        <w:rPr>
          <w:rFonts w:asciiTheme="minorHAnsi" w:hAnsiTheme="minorHAnsi" w:cstheme="minorBidi"/>
        </w:rPr>
        <w:t>.</w:t>
      </w:r>
    </w:p>
    <w:p w14:paraId="63672CA5" w14:textId="77777777" w:rsidR="00B731C3" w:rsidRDefault="00B731C3" w:rsidP="00B731C3">
      <w:pPr>
        <w:pStyle w:val="muudetavtekst"/>
        <w:rPr>
          <w:rFonts w:asciiTheme="minorHAnsi" w:hAnsiTheme="minorHAnsi" w:cstheme="minorHAnsi"/>
        </w:rPr>
      </w:pPr>
    </w:p>
    <w:p w14:paraId="0828A032" w14:textId="77777777" w:rsidR="00B731C3" w:rsidRDefault="00B731C3" w:rsidP="00B731C3">
      <w:pPr>
        <w:pStyle w:val="muudetavtekst"/>
        <w:rPr>
          <w:rFonts w:asciiTheme="minorHAnsi" w:hAnsiTheme="minorHAnsi" w:cstheme="minorBidi"/>
        </w:rPr>
      </w:pPr>
      <w:r w:rsidRPr="57490200">
        <w:rPr>
          <w:rFonts w:asciiTheme="minorHAnsi" w:hAnsiTheme="minorHAnsi" w:cstheme="minorBidi"/>
        </w:rPr>
        <w:t>Rekonstrueerimiskohustus määratakse nende hoonete põhjal, mis on avaliku sektori omandis 100%, ehk välja jäävad need hooned, kus avalik</w:t>
      </w:r>
      <w:r>
        <w:rPr>
          <w:rFonts w:asciiTheme="minorHAnsi" w:hAnsiTheme="minorHAnsi" w:cstheme="minorBidi"/>
        </w:rPr>
        <w:t>u</w:t>
      </w:r>
      <w:r w:rsidRPr="57490200">
        <w:rPr>
          <w:rFonts w:asciiTheme="minorHAnsi" w:hAnsiTheme="minorHAnsi" w:cstheme="minorBidi"/>
        </w:rPr>
        <w:t xml:space="preserve"> sektori asutus omab vaid osa hoonest (nt </w:t>
      </w:r>
      <w:r w:rsidRPr="57490200">
        <w:rPr>
          <w:rFonts w:asciiTheme="minorHAnsi" w:hAnsiTheme="minorHAnsi" w:cstheme="minorBidi"/>
        </w:rPr>
        <w:lastRenderedPageBreak/>
        <w:t>korterelamud, kus avalik</w:t>
      </w:r>
      <w:r>
        <w:rPr>
          <w:rFonts w:asciiTheme="minorHAnsi" w:hAnsiTheme="minorHAnsi" w:cstheme="minorBidi"/>
        </w:rPr>
        <w:t>u</w:t>
      </w:r>
      <w:r w:rsidRPr="57490200">
        <w:rPr>
          <w:rFonts w:asciiTheme="minorHAnsi" w:hAnsiTheme="minorHAnsi" w:cstheme="minorBidi"/>
        </w:rPr>
        <w:t xml:space="preserve"> sektori asutus</w:t>
      </w:r>
      <w:r>
        <w:rPr>
          <w:rFonts w:asciiTheme="minorHAnsi" w:hAnsiTheme="minorHAnsi" w:cstheme="minorBidi"/>
        </w:rPr>
        <w:t>e omanduses on</w:t>
      </w:r>
      <w:r w:rsidRPr="57490200">
        <w:rPr>
          <w:rFonts w:asciiTheme="minorHAnsi" w:hAnsiTheme="minorHAnsi" w:cstheme="minorBidi"/>
        </w:rPr>
        <w:t xml:space="preserve"> sotsiaalelupindu või ametikortereid</w:t>
      </w:r>
      <w:r>
        <w:rPr>
          <w:rFonts w:asciiTheme="minorHAnsi" w:hAnsiTheme="minorHAnsi" w:cstheme="minorBidi"/>
        </w:rPr>
        <w:t>, ning üüripinnad</w:t>
      </w:r>
      <w:r w:rsidRPr="57490200">
        <w:rPr>
          <w:rFonts w:asciiTheme="minorHAnsi" w:hAnsiTheme="minorHAnsi" w:cstheme="minorBidi"/>
        </w:rPr>
        <w:t xml:space="preserve">). See ei tähenda aga kindlasti seda, et ka nende hoonetega ei tuleks tegeleda. </w:t>
      </w:r>
      <w:r>
        <w:rPr>
          <w:rFonts w:asciiTheme="minorHAnsi" w:hAnsiTheme="minorHAnsi" w:cstheme="minorBidi"/>
        </w:rPr>
        <w:t>Nende puhul</w:t>
      </w:r>
      <w:r w:rsidRPr="5621D634">
        <w:rPr>
          <w:rFonts w:asciiTheme="minorHAnsi" w:hAnsiTheme="minorHAnsi" w:cstheme="minorBidi"/>
        </w:rPr>
        <w:t xml:space="preserve"> on vaja arvestada ning koostööd teha hoone teiste omanikega, et ühiselt hooneid rekonstrueerida.</w:t>
      </w:r>
    </w:p>
    <w:p w14:paraId="19964102" w14:textId="77777777" w:rsidR="00B731C3" w:rsidRDefault="00B731C3" w:rsidP="00B731C3">
      <w:pPr>
        <w:pStyle w:val="muudetavtekst"/>
        <w:rPr>
          <w:rFonts w:asciiTheme="minorHAnsi" w:hAnsiTheme="minorHAnsi" w:cstheme="minorBidi"/>
        </w:rPr>
      </w:pPr>
    </w:p>
    <w:p w14:paraId="3448AEF6" w14:textId="77777777" w:rsidR="00B731C3" w:rsidRDefault="00B731C3" w:rsidP="00B731C3">
      <w:pPr>
        <w:pStyle w:val="muudetavtekst"/>
        <w:rPr>
          <w:rFonts w:asciiTheme="minorHAnsi" w:hAnsiTheme="minorHAnsi" w:cstheme="minorBidi"/>
        </w:rPr>
      </w:pPr>
      <w:r w:rsidRPr="08B92BCA">
        <w:rPr>
          <w:rFonts w:asciiTheme="minorHAnsi" w:hAnsiTheme="minorHAnsi" w:cstheme="minorBidi"/>
        </w:rPr>
        <w:t>Seal</w:t>
      </w:r>
      <w:r>
        <w:rPr>
          <w:rFonts w:asciiTheme="minorHAnsi" w:hAnsiTheme="minorHAnsi" w:cstheme="minorBidi"/>
        </w:rPr>
        <w:t>,</w:t>
      </w:r>
      <w:r w:rsidRPr="08B92BCA">
        <w:rPr>
          <w:rFonts w:asciiTheme="minorHAnsi" w:hAnsiTheme="minorHAnsi" w:cstheme="minorBidi"/>
        </w:rPr>
        <w:t xml:space="preserve"> kus avaliku sektori asutus on üürnik, peab avalik sektor läbirääkimisi hoonete omanikega – eeskätt siis, kui jõuab kätte otsustav hetk, näiteks üürilepingu uuendamine, kasutuse muutmine või olulised remondi- või hooldustööd –</w:t>
      </w:r>
      <w:r>
        <w:rPr>
          <w:rFonts w:asciiTheme="minorHAnsi" w:hAnsiTheme="minorHAnsi" w:cstheme="minorBidi"/>
        </w:rPr>
        <w:t>, et</w:t>
      </w:r>
      <w:r w:rsidRPr="08B92BCA">
        <w:rPr>
          <w:rFonts w:asciiTheme="minorHAnsi" w:hAnsiTheme="minorHAnsi" w:cstheme="minorBidi"/>
        </w:rPr>
        <w:t xml:space="preserve"> kehtestada lepingutingimused, </w:t>
      </w:r>
      <w:r>
        <w:rPr>
          <w:rFonts w:asciiTheme="minorHAnsi" w:hAnsiTheme="minorHAnsi" w:cstheme="minorBidi"/>
        </w:rPr>
        <w:t xml:space="preserve">võttes seejuures arvesse, </w:t>
      </w:r>
      <w:r w:rsidRPr="08B92BCA">
        <w:rPr>
          <w:rFonts w:asciiTheme="minorHAnsi" w:hAnsiTheme="minorHAnsi" w:cstheme="minorBidi"/>
        </w:rPr>
        <w:t>kuidas muutub hoone energiatõhususe miinimumnõuetele vastavaks, seda eriti pikaajaliste lepingute puhul.</w:t>
      </w:r>
    </w:p>
    <w:p w14:paraId="636CE6E9" w14:textId="77777777" w:rsidR="00B731C3" w:rsidRDefault="00B731C3" w:rsidP="00B731C3">
      <w:pPr>
        <w:pStyle w:val="muudetavtekst"/>
        <w:rPr>
          <w:rFonts w:asciiTheme="minorHAnsi" w:hAnsiTheme="minorHAnsi" w:cstheme="minorBidi"/>
        </w:rPr>
      </w:pPr>
    </w:p>
    <w:p w14:paraId="63E366CA" w14:textId="77777777" w:rsidR="00B731C3" w:rsidRDefault="00B731C3" w:rsidP="00B731C3">
      <w:pPr>
        <w:pStyle w:val="muudetavtekst"/>
        <w:rPr>
          <w:rFonts w:asciiTheme="minorHAnsi" w:hAnsiTheme="minorHAnsi" w:cstheme="minorBidi"/>
        </w:rPr>
      </w:pPr>
      <w:r>
        <w:rPr>
          <w:rFonts w:asciiTheme="minorHAnsi" w:hAnsiTheme="minorHAnsi" w:cstheme="minorBidi"/>
        </w:rPr>
        <w:t>Renoveerimiskohustus määrati järgmise tabeli alusel (hoonete inventuurist on hiljem juttu).</w:t>
      </w:r>
    </w:p>
    <w:p w14:paraId="25EB2DAC" w14:textId="77777777" w:rsidR="00B731C3" w:rsidRDefault="00B731C3" w:rsidP="00B731C3">
      <w:pPr>
        <w:pStyle w:val="muudetavtekst"/>
        <w:rPr>
          <w:rFonts w:asciiTheme="minorHAnsi" w:hAnsiTheme="minorHAnsi" w:cstheme="minorHAnsi"/>
        </w:rPr>
      </w:pPr>
    </w:p>
    <w:p w14:paraId="4A43F49A" w14:textId="77777777" w:rsidR="00B731C3" w:rsidRPr="00CB6837" w:rsidRDefault="00B731C3" w:rsidP="00B731C3">
      <w:pPr>
        <w:pStyle w:val="muudetavtekst"/>
        <w:rPr>
          <w:color w:val="000000"/>
        </w:rPr>
      </w:pPr>
      <w:r>
        <w:rPr>
          <w:rFonts w:asciiTheme="minorHAnsi" w:hAnsiTheme="minorHAnsi" w:cstheme="minorHAnsi"/>
        </w:rPr>
        <w:t>Tabel 10. Avaliku sektori asutuste hoonete kohustuste kohaldamisala</w:t>
      </w:r>
    </w:p>
    <w:tbl>
      <w:tblPr>
        <w:tblW w:w="5011" w:type="pct"/>
        <w:tblBorders>
          <w:top w:val="single" w:sz="6" w:space="0" w:color="000000"/>
          <w:left w:val="single" w:sz="6" w:space="0" w:color="000000"/>
          <w:bottom w:val="single" w:sz="6" w:space="0" w:color="000000"/>
          <w:right w:val="single" w:sz="6" w:space="0" w:color="000000"/>
        </w:tblBorders>
        <w:shd w:val="clear" w:color="auto" w:fill="FFFFFF"/>
        <w:tblLayout w:type="fixed"/>
        <w:tblCellMar>
          <w:left w:w="0" w:type="dxa"/>
          <w:right w:w="0" w:type="dxa"/>
        </w:tblCellMar>
        <w:tblLook w:val="04A0" w:firstRow="1" w:lastRow="0" w:firstColumn="1" w:lastColumn="0" w:noHBand="0" w:noVBand="1"/>
      </w:tblPr>
      <w:tblGrid>
        <w:gridCol w:w="985"/>
        <w:gridCol w:w="1275"/>
        <w:gridCol w:w="1276"/>
        <w:gridCol w:w="1559"/>
        <w:gridCol w:w="1843"/>
        <w:gridCol w:w="2138"/>
      </w:tblGrid>
      <w:tr w:rsidR="00B731C3" w:rsidRPr="00CB6837" w14:paraId="090D87A0" w14:textId="77777777" w:rsidTr="00A13E67">
        <w:tc>
          <w:tcPr>
            <w:tcW w:w="226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2C0B9EF9" w14:textId="77777777" w:rsidR="00B731C3" w:rsidRPr="00CB6837" w:rsidRDefault="00B731C3" w:rsidP="00A13E67">
            <w:pPr>
              <w:spacing w:after="0" w:line="240" w:lineRule="auto"/>
              <w:ind w:right="195"/>
              <w:jc w:val="center"/>
              <w:rPr>
                <w:rFonts w:ascii="inherit" w:eastAsia="Times New Roman" w:hAnsi="inherit" w:cs="Times New Roman"/>
                <w:b/>
                <w:bCs/>
                <w:color w:val="000000"/>
                <w:lang w:eastAsia="et-EE"/>
              </w:rPr>
            </w:pPr>
            <w:r w:rsidRPr="00CB6837">
              <w:rPr>
                <w:rFonts w:ascii="inherit" w:eastAsia="Times New Roman" w:hAnsi="inherit" w:cs="Times New Roman"/>
                <w:b/>
                <w:bCs/>
                <w:color w:val="000000"/>
                <w:lang w:eastAsia="et-EE"/>
              </w:rPr>
              <w:t>Kategooria</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54DE86EE" w14:textId="77777777" w:rsidR="00B731C3" w:rsidRPr="00CB6837" w:rsidRDefault="00B731C3" w:rsidP="00A13E67">
            <w:pPr>
              <w:spacing w:after="0" w:line="240" w:lineRule="auto"/>
              <w:ind w:right="195"/>
              <w:jc w:val="center"/>
              <w:rPr>
                <w:rFonts w:ascii="inherit" w:eastAsia="Times New Roman" w:hAnsi="inherit" w:cs="Times New Roman"/>
                <w:b/>
                <w:bCs/>
                <w:color w:val="000000"/>
                <w:lang w:eastAsia="et-EE"/>
              </w:rPr>
            </w:pPr>
            <w:r>
              <w:rPr>
                <w:rFonts w:ascii="inherit" w:eastAsia="Times New Roman" w:hAnsi="inherit" w:cs="Times New Roman"/>
                <w:b/>
                <w:bCs/>
                <w:color w:val="000000"/>
                <w:lang w:eastAsia="et-EE"/>
              </w:rPr>
              <w:t>I</w:t>
            </w:r>
            <w:r w:rsidRPr="00CB6837">
              <w:rPr>
                <w:rFonts w:ascii="inherit" w:eastAsia="Times New Roman" w:hAnsi="inherit" w:cs="Times New Roman"/>
                <w:b/>
                <w:bCs/>
                <w:color w:val="000000"/>
                <w:lang w:eastAsia="et-EE"/>
              </w:rPr>
              <w:t>nventuur</w:t>
            </w:r>
          </w:p>
        </w:tc>
        <w:tc>
          <w:tcPr>
            <w:tcW w:w="1559" w:type="dxa"/>
            <w:tcBorders>
              <w:top w:val="single" w:sz="6" w:space="0" w:color="000000"/>
              <w:left w:val="single" w:sz="6" w:space="0" w:color="000000"/>
              <w:bottom w:val="single" w:sz="6" w:space="0" w:color="000000"/>
              <w:right w:val="single" w:sz="6" w:space="0" w:color="000000"/>
            </w:tcBorders>
            <w:shd w:val="clear" w:color="auto" w:fill="FFFFFF"/>
            <w:hideMark/>
          </w:tcPr>
          <w:p w14:paraId="77EB3572" w14:textId="77777777" w:rsidR="00B731C3" w:rsidRPr="00CB6837" w:rsidRDefault="00B731C3" w:rsidP="00A13E67">
            <w:pPr>
              <w:spacing w:after="0" w:line="240" w:lineRule="auto"/>
              <w:ind w:right="195"/>
              <w:jc w:val="center"/>
              <w:rPr>
                <w:rFonts w:ascii="inherit" w:eastAsia="Times New Roman" w:hAnsi="inherit" w:cs="Times New Roman"/>
                <w:b/>
                <w:bCs/>
                <w:color w:val="000000"/>
                <w:lang w:eastAsia="et-EE"/>
              </w:rPr>
            </w:pPr>
            <w:r>
              <w:rPr>
                <w:rFonts w:ascii="inherit" w:eastAsia="Times New Roman" w:hAnsi="inherit" w:cs="Times New Roman"/>
                <w:b/>
                <w:bCs/>
                <w:color w:val="000000"/>
                <w:lang w:eastAsia="et-EE"/>
              </w:rPr>
              <w:t xml:space="preserve">Arvestatakse </w:t>
            </w:r>
            <w:r w:rsidRPr="00CB6837">
              <w:rPr>
                <w:rFonts w:ascii="inherit" w:eastAsia="Times New Roman" w:hAnsi="inherit" w:cs="Times New Roman"/>
                <w:b/>
                <w:bCs/>
                <w:color w:val="000000"/>
                <w:lang w:eastAsia="et-EE"/>
              </w:rPr>
              <w:t>võrdlusalu</w:t>
            </w:r>
            <w:r>
              <w:rPr>
                <w:rFonts w:ascii="inherit" w:eastAsia="Times New Roman" w:hAnsi="inherit" w:cs="Times New Roman"/>
                <w:b/>
                <w:bCs/>
                <w:color w:val="000000"/>
                <w:lang w:eastAsia="et-EE"/>
              </w:rPr>
              <w:t>-</w:t>
            </w:r>
            <w:r w:rsidRPr="00CB6837">
              <w:rPr>
                <w:rFonts w:ascii="inherit" w:eastAsia="Times New Roman" w:hAnsi="inherit" w:cs="Times New Roman"/>
                <w:b/>
                <w:bCs/>
                <w:color w:val="000000"/>
                <w:lang w:eastAsia="et-EE"/>
              </w:rPr>
              <w:t>sega</w:t>
            </w:r>
            <w:hyperlink r:id="rId18" w:anchor="ntr46-L_202401716ET.000301-E0046" w:history="1">
              <w:r w:rsidRPr="00CB6837">
                <w:rPr>
                  <w:rFonts w:ascii="inherit" w:eastAsia="Times New Roman" w:hAnsi="inherit" w:cs="Times New Roman"/>
                  <w:b/>
                  <w:bCs/>
                  <w:color w:val="337AB7"/>
                  <w:u w:val="single"/>
                  <w:lang w:eastAsia="et-EE"/>
                </w:rPr>
                <w:t> </w:t>
              </w:r>
            </w:hyperlink>
            <w:r>
              <w:rPr>
                <w:rStyle w:val="Allmrkuseviide"/>
                <w:rFonts w:ascii="inherit" w:eastAsia="Times New Roman" w:hAnsi="inherit" w:cs="Times New Roman"/>
                <w:b/>
                <w:bCs/>
                <w:color w:val="000000"/>
                <w:lang w:eastAsia="et-EE"/>
              </w:rPr>
              <w:footnoteReference w:id="38"/>
            </w:r>
          </w:p>
        </w:tc>
        <w:tc>
          <w:tcPr>
            <w:tcW w:w="1843" w:type="dxa"/>
            <w:tcBorders>
              <w:top w:val="single" w:sz="6" w:space="0" w:color="000000"/>
              <w:left w:val="single" w:sz="6" w:space="0" w:color="000000"/>
              <w:bottom w:val="single" w:sz="6" w:space="0" w:color="000000"/>
              <w:right w:val="single" w:sz="6" w:space="0" w:color="000000"/>
            </w:tcBorders>
            <w:shd w:val="clear" w:color="auto" w:fill="FFFFFF"/>
            <w:hideMark/>
          </w:tcPr>
          <w:p w14:paraId="156E4037" w14:textId="77777777" w:rsidR="00B731C3" w:rsidRPr="00CB6837" w:rsidRDefault="00B731C3" w:rsidP="00A13E67">
            <w:pPr>
              <w:spacing w:after="0" w:line="240" w:lineRule="auto"/>
              <w:ind w:right="195"/>
              <w:jc w:val="center"/>
              <w:rPr>
                <w:rFonts w:ascii="inherit" w:eastAsia="Times New Roman" w:hAnsi="inherit" w:cs="Times New Roman"/>
                <w:b/>
                <w:bCs/>
                <w:color w:val="000000"/>
                <w:lang w:eastAsia="et-EE"/>
              </w:rPr>
            </w:pPr>
            <w:r w:rsidRPr="00CB6837">
              <w:rPr>
                <w:rFonts w:ascii="inherit" w:eastAsia="Times New Roman" w:hAnsi="inherit" w:cs="Times New Roman"/>
                <w:b/>
                <w:bCs/>
                <w:color w:val="000000"/>
                <w:lang w:eastAsia="et-EE"/>
              </w:rPr>
              <w:t>Re</w:t>
            </w:r>
            <w:r>
              <w:rPr>
                <w:rFonts w:ascii="inherit" w:eastAsia="Times New Roman" w:hAnsi="inherit" w:cs="Times New Roman"/>
                <w:b/>
                <w:bCs/>
                <w:color w:val="000000"/>
                <w:lang w:eastAsia="et-EE"/>
              </w:rPr>
              <w:t>konstrueeri-mis</w:t>
            </w:r>
            <w:r w:rsidRPr="00CB6837">
              <w:rPr>
                <w:rFonts w:ascii="inherit" w:eastAsia="Times New Roman" w:hAnsi="inherit" w:cs="Times New Roman"/>
                <w:b/>
                <w:bCs/>
                <w:color w:val="000000"/>
                <w:lang w:eastAsia="et-EE"/>
              </w:rPr>
              <w:t>kohustus</w:t>
            </w:r>
          </w:p>
        </w:tc>
        <w:tc>
          <w:tcPr>
            <w:tcW w:w="2138" w:type="dxa"/>
            <w:tcBorders>
              <w:top w:val="single" w:sz="6" w:space="0" w:color="000000"/>
              <w:left w:val="single" w:sz="6" w:space="0" w:color="000000"/>
              <w:bottom w:val="single" w:sz="6" w:space="0" w:color="000000"/>
              <w:right w:val="single" w:sz="6" w:space="0" w:color="000000"/>
            </w:tcBorders>
            <w:shd w:val="clear" w:color="auto" w:fill="FFFFFF"/>
            <w:hideMark/>
          </w:tcPr>
          <w:p w14:paraId="41A243BD" w14:textId="77777777" w:rsidR="00B731C3" w:rsidRPr="00CB6837" w:rsidRDefault="00B731C3" w:rsidP="00A13E67">
            <w:pPr>
              <w:spacing w:after="0" w:line="240" w:lineRule="auto"/>
              <w:ind w:right="195"/>
              <w:jc w:val="center"/>
              <w:rPr>
                <w:rFonts w:ascii="inherit" w:eastAsia="Times New Roman" w:hAnsi="inherit" w:cs="Times New Roman"/>
                <w:b/>
                <w:bCs/>
                <w:color w:val="000000"/>
                <w:lang w:eastAsia="et-EE"/>
              </w:rPr>
            </w:pPr>
            <w:r>
              <w:rPr>
                <w:rFonts w:ascii="inherit" w:eastAsia="Times New Roman" w:hAnsi="inherit" w:cs="Times New Roman"/>
                <w:b/>
                <w:bCs/>
                <w:color w:val="000000"/>
                <w:lang w:eastAsia="et-EE"/>
              </w:rPr>
              <w:t xml:space="preserve">Energiatõhususe miinimumnõudele </w:t>
            </w:r>
            <w:r w:rsidRPr="00CB6837">
              <w:rPr>
                <w:rFonts w:ascii="inherit" w:eastAsia="Times New Roman" w:hAnsi="inherit" w:cs="Times New Roman"/>
                <w:b/>
                <w:bCs/>
                <w:color w:val="000000"/>
                <w:lang w:eastAsia="et-EE"/>
              </w:rPr>
              <w:t>re</w:t>
            </w:r>
            <w:r>
              <w:rPr>
                <w:rFonts w:ascii="inherit" w:eastAsia="Times New Roman" w:hAnsi="inherit" w:cs="Times New Roman"/>
                <w:b/>
                <w:bCs/>
                <w:color w:val="000000"/>
                <w:lang w:eastAsia="et-EE"/>
              </w:rPr>
              <w:t xml:space="preserve">konstrueeritud hoonete </w:t>
            </w:r>
            <w:r w:rsidRPr="00CB6837">
              <w:rPr>
                <w:rFonts w:ascii="inherit" w:eastAsia="Times New Roman" w:hAnsi="inherit" w:cs="Times New Roman"/>
                <w:b/>
                <w:bCs/>
                <w:color w:val="000000"/>
                <w:lang w:eastAsia="et-EE"/>
              </w:rPr>
              <w:t>panus eesmärgi saavutamisse</w:t>
            </w:r>
          </w:p>
        </w:tc>
      </w:tr>
      <w:tr w:rsidR="00B731C3" w:rsidRPr="00CB6837" w14:paraId="4BF2283E" w14:textId="77777777" w:rsidTr="00A13E67">
        <w:tc>
          <w:tcPr>
            <w:tcW w:w="226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6718B00F" w14:textId="77777777" w:rsidR="00B731C3" w:rsidRPr="00CB6837" w:rsidRDefault="00B731C3" w:rsidP="00A13E67">
            <w:pPr>
              <w:spacing w:after="0" w:line="240" w:lineRule="auto"/>
              <w:rPr>
                <w:rFonts w:ascii="inherit" w:eastAsia="Times New Roman" w:hAnsi="inherit" w:cs="Times New Roman"/>
                <w:color w:val="000000"/>
                <w:lang w:eastAsia="et-EE"/>
              </w:rPr>
            </w:pPr>
            <w:r w:rsidRPr="00CB6837">
              <w:rPr>
                <w:rFonts w:ascii="inherit" w:eastAsia="Times New Roman" w:hAnsi="inherit" w:cs="Times New Roman"/>
                <w:b/>
                <w:bCs/>
                <w:color w:val="000000"/>
                <w:lang w:eastAsia="et-EE"/>
              </w:rPr>
              <w:t>Avaliku sektori asutuste kasutuses, kuid mitte omanduses</w:t>
            </w:r>
            <w:r>
              <w:rPr>
                <w:rFonts w:ascii="inherit" w:eastAsia="Times New Roman" w:hAnsi="inherit" w:cs="Times New Roman"/>
                <w:b/>
                <w:bCs/>
                <w:color w:val="000000"/>
                <w:lang w:eastAsia="et-EE"/>
              </w:rPr>
              <w:t xml:space="preserve"> (üüripinnad)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39270C5C" w14:textId="77777777" w:rsidR="00B731C3" w:rsidRPr="00CB6837" w:rsidRDefault="00B731C3" w:rsidP="00A13E67">
            <w:pPr>
              <w:spacing w:after="0" w:line="240" w:lineRule="auto"/>
              <w:jc w:val="center"/>
              <w:rPr>
                <w:rFonts w:ascii="inherit" w:eastAsia="Times New Roman" w:hAnsi="inherit" w:cs="Times New Roman"/>
                <w:color w:val="000000"/>
                <w:lang w:eastAsia="et-EE"/>
              </w:rPr>
            </w:pPr>
            <w:r w:rsidRPr="00CB6837">
              <w:rPr>
                <w:rFonts w:ascii="inherit" w:eastAsia="Times New Roman" w:hAnsi="inherit" w:cs="Times New Roman"/>
                <w:color w:val="000000"/>
                <w:lang w:eastAsia="et-EE"/>
              </w:rPr>
              <w:t>JAH</w:t>
            </w:r>
          </w:p>
        </w:tc>
        <w:tc>
          <w:tcPr>
            <w:tcW w:w="1559" w:type="dxa"/>
            <w:tcBorders>
              <w:top w:val="single" w:sz="6" w:space="0" w:color="000000"/>
              <w:left w:val="single" w:sz="6" w:space="0" w:color="000000"/>
              <w:bottom w:val="single" w:sz="6" w:space="0" w:color="000000"/>
              <w:right w:val="single" w:sz="6" w:space="0" w:color="000000"/>
            </w:tcBorders>
            <w:shd w:val="clear" w:color="auto" w:fill="FFFFFF"/>
            <w:hideMark/>
          </w:tcPr>
          <w:p w14:paraId="2A120841" w14:textId="77777777" w:rsidR="00B731C3" w:rsidRPr="00CB6837" w:rsidRDefault="00B731C3" w:rsidP="00A13E67">
            <w:pPr>
              <w:spacing w:after="0" w:line="240" w:lineRule="auto"/>
              <w:jc w:val="center"/>
              <w:rPr>
                <w:rFonts w:ascii="inherit" w:eastAsia="Times New Roman" w:hAnsi="inherit" w:cs="Times New Roman"/>
                <w:color w:val="000000"/>
                <w:lang w:eastAsia="et-EE"/>
              </w:rPr>
            </w:pPr>
            <w:r w:rsidRPr="00CB6837">
              <w:rPr>
                <w:rFonts w:ascii="inherit" w:eastAsia="Times New Roman" w:hAnsi="inherit" w:cs="Times New Roman"/>
                <w:color w:val="000000"/>
                <w:lang w:eastAsia="et-EE"/>
              </w:rPr>
              <w:t>EI</w:t>
            </w:r>
          </w:p>
        </w:tc>
        <w:tc>
          <w:tcPr>
            <w:tcW w:w="1843" w:type="dxa"/>
            <w:tcBorders>
              <w:top w:val="single" w:sz="6" w:space="0" w:color="000000"/>
              <w:left w:val="single" w:sz="6" w:space="0" w:color="000000"/>
              <w:bottom w:val="single" w:sz="6" w:space="0" w:color="000000"/>
              <w:right w:val="single" w:sz="6" w:space="0" w:color="000000"/>
            </w:tcBorders>
            <w:shd w:val="clear" w:color="auto" w:fill="FFFFFF"/>
            <w:hideMark/>
          </w:tcPr>
          <w:p w14:paraId="10D36F7F" w14:textId="77777777" w:rsidR="00B731C3" w:rsidRPr="00CB6837" w:rsidRDefault="00B731C3" w:rsidP="00A13E67">
            <w:pPr>
              <w:spacing w:after="0" w:line="240" w:lineRule="auto"/>
              <w:jc w:val="center"/>
              <w:rPr>
                <w:rFonts w:ascii="inherit" w:eastAsia="Times New Roman" w:hAnsi="inherit" w:cs="Times New Roman"/>
                <w:color w:val="000000"/>
                <w:lang w:eastAsia="et-EE"/>
              </w:rPr>
            </w:pPr>
            <w:r w:rsidRPr="00CB6837">
              <w:rPr>
                <w:rFonts w:ascii="inherit" w:eastAsia="Times New Roman" w:hAnsi="inherit" w:cs="Times New Roman"/>
                <w:color w:val="000000"/>
                <w:lang w:eastAsia="et-EE"/>
              </w:rPr>
              <w:t>EI</w:t>
            </w:r>
            <w:r>
              <w:rPr>
                <w:rStyle w:val="Allmrkuseviide"/>
                <w:rFonts w:ascii="inherit" w:eastAsia="Times New Roman" w:hAnsi="inherit" w:cs="Times New Roman"/>
                <w:color w:val="000000"/>
                <w:lang w:eastAsia="et-EE"/>
              </w:rPr>
              <w:footnoteReference w:id="39"/>
            </w:r>
          </w:p>
        </w:tc>
        <w:tc>
          <w:tcPr>
            <w:tcW w:w="2138" w:type="dxa"/>
            <w:tcBorders>
              <w:top w:val="single" w:sz="6" w:space="0" w:color="000000"/>
              <w:left w:val="single" w:sz="6" w:space="0" w:color="000000"/>
              <w:bottom w:val="single" w:sz="6" w:space="0" w:color="000000"/>
              <w:right w:val="single" w:sz="6" w:space="0" w:color="000000"/>
            </w:tcBorders>
            <w:shd w:val="clear" w:color="auto" w:fill="FFFFFF"/>
            <w:hideMark/>
          </w:tcPr>
          <w:p w14:paraId="1A69125D" w14:textId="77777777" w:rsidR="00B731C3" w:rsidRPr="00CB6837" w:rsidRDefault="00B731C3" w:rsidP="00A13E67">
            <w:pPr>
              <w:spacing w:after="0" w:line="240" w:lineRule="auto"/>
              <w:jc w:val="center"/>
              <w:rPr>
                <w:rFonts w:ascii="inherit" w:eastAsia="Times New Roman" w:hAnsi="inherit" w:cs="Times New Roman"/>
                <w:color w:val="000000"/>
                <w:lang w:eastAsia="et-EE"/>
              </w:rPr>
            </w:pPr>
            <w:r w:rsidRPr="00CB6837">
              <w:rPr>
                <w:rFonts w:ascii="inherit" w:eastAsia="Times New Roman" w:hAnsi="inherit" w:cs="Times New Roman"/>
                <w:color w:val="000000"/>
                <w:lang w:eastAsia="et-EE"/>
              </w:rPr>
              <w:t>EI</w:t>
            </w:r>
          </w:p>
        </w:tc>
      </w:tr>
      <w:tr w:rsidR="00B731C3" w:rsidRPr="00CB6837" w14:paraId="0B779F43" w14:textId="77777777" w:rsidTr="00A13E67">
        <w:tc>
          <w:tcPr>
            <w:tcW w:w="985"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23FE9DAE" w14:textId="77777777" w:rsidR="00B731C3" w:rsidRPr="00CB6837" w:rsidRDefault="00B731C3" w:rsidP="00A13E67">
            <w:pPr>
              <w:spacing w:after="0" w:line="240" w:lineRule="auto"/>
              <w:rPr>
                <w:rFonts w:ascii="inherit" w:eastAsia="Times New Roman" w:hAnsi="inherit" w:cs="Times New Roman"/>
                <w:color w:val="000000"/>
                <w:lang w:eastAsia="et-EE"/>
              </w:rPr>
            </w:pPr>
            <w:r w:rsidRPr="00CB6837">
              <w:rPr>
                <w:rFonts w:ascii="inherit" w:eastAsia="Times New Roman" w:hAnsi="inherit" w:cs="Times New Roman"/>
                <w:b/>
                <w:bCs/>
                <w:color w:val="000000"/>
                <w:lang w:eastAsia="et-EE"/>
              </w:rPr>
              <w:t>Avaliku sektori asutuste omanduses</w:t>
            </w:r>
          </w:p>
        </w:tc>
        <w:tc>
          <w:tcPr>
            <w:tcW w:w="1275" w:type="dxa"/>
            <w:tcBorders>
              <w:top w:val="single" w:sz="6" w:space="0" w:color="000000"/>
              <w:left w:val="single" w:sz="6" w:space="0" w:color="000000"/>
              <w:bottom w:val="single" w:sz="6" w:space="0" w:color="000000"/>
              <w:right w:val="single" w:sz="6" w:space="0" w:color="000000"/>
            </w:tcBorders>
            <w:shd w:val="clear" w:color="auto" w:fill="FFFFFF"/>
            <w:hideMark/>
          </w:tcPr>
          <w:p w14:paraId="79F3D6CD" w14:textId="77777777" w:rsidR="00B731C3" w:rsidRPr="00CB6837" w:rsidRDefault="00B731C3" w:rsidP="00A13E67">
            <w:pPr>
              <w:spacing w:after="0" w:line="240" w:lineRule="auto"/>
              <w:rPr>
                <w:rFonts w:ascii="inherit" w:eastAsia="Times New Roman" w:hAnsi="inherit" w:cs="Times New Roman"/>
                <w:color w:val="000000"/>
                <w:lang w:eastAsia="et-EE"/>
              </w:rPr>
            </w:pPr>
            <w:r w:rsidRPr="00CB6837">
              <w:rPr>
                <w:rFonts w:ascii="inherit" w:eastAsia="Times New Roman" w:hAnsi="inherit" w:cs="Times New Roman"/>
                <w:color w:val="000000"/>
                <w:lang w:eastAsia="et-EE"/>
              </w:rPr>
              <w:t>Hooned, mis 1. jaanuaril 2024 juba on liginullenergiahooned</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1A847853" w14:textId="77777777" w:rsidR="00B731C3" w:rsidRPr="00CB6837" w:rsidRDefault="00B731C3" w:rsidP="00A13E67">
            <w:pPr>
              <w:spacing w:after="0" w:line="240" w:lineRule="auto"/>
              <w:jc w:val="center"/>
              <w:rPr>
                <w:rFonts w:ascii="inherit" w:eastAsia="Times New Roman" w:hAnsi="inherit" w:cs="Times New Roman"/>
                <w:color w:val="000000"/>
                <w:lang w:eastAsia="et-EE"/>
              </w:rPr>
            </w:pPr>
            <w:r w:rsidRPr="00CB6837">
              <w:rPr>
                <w:rFonts w:ascii="inherit" w:eastAsia="Times New Roman" w:hAnsi="inherit" w:cs="Times New Roman"/>
                <w:color w:val="000000"/>
                <w:lang w:eastAsia="et-EE"/>
              </w:rPr>
              <w:t>JAH</w:t>
            </w:r>
          </w:p>
        </w:tc>
        <w:tc>
          <w:tcPr>
            <w:tcW w:w="1559" w:type="dxa"/>
            <w:tcBorders>
              <w:top w:val="single" w:sz="6" w:space="0" w:color="000000"/>
              <w:left w:val="single" w:sz="6" w:space="0" w:color="000000"/>
              <w:bottom w:val="single" w:sz="6" w:space="0" w:color="000000"/>
              <w:right w:val="single" w:sz="6" w:space="0" w:color="000000"/>
            </w:tcBorders>
            <w:shd w:val="clear" w:color="auto" w:fill="FFFFFF"/>
            <w:hideMark/>
          </w:tcPr>
          <w:p w14:paraId="6708D9BF" w14:textId="77777777" w:rsidR="00B731C3" w:rsidRPr="00CB6837" w:rsidRDefault="00B731C3" w:rsidP="00A13E67">
            <w:pPr>
              <w:spacing w:after="0" w:line="240" w:lineRule="auto"/>
              <w:jc w:val="center"/>
              <w:rPr>
                <w:rFonts w:ascii="inherit" w:eastAsia="Times New Roman" w:hAnsi="inherit" w:cs="Times New Roman"/>
                <w:color w:val="000000"/>
                <w:lang w:eastAsia="et-EE"/>
              </w:rPr>
            </w:pPr>
            <w:r w:rsidRPr="00CB6837">
              <w:rPr>
                <w:rFonts w:ascii="inherit" w:eastAsia="Times New Roman" w:hAnsi="inherit" w:cs="Times New Roman"/>
                <w:color w:val="000000"/>
                <w:lang w:eastAsia="et-EE"/>
              </w:rPr>
              <w:t>EI</w:t>
            </w:r>
          </w:p>
        </w:tc>
        <w:tc>
          <w:tcPr>
            <w:tcW w:w="1843" w:type="dxa"/>
            <w:tcBorders>
              <w:top w:val="single" w:sz="6" w:space="0" w:color="000000"/>
              <w:left w:val="single" w:sz="6" w:space="0" w:color="000000"/>
              <w:bottom w:val="single" w:sz="6" w:space="0" w:color="000000"/>
              <w:right w:val="single" w:sz="6" w:space="0" w:color="000000"/>
            </w:tcBorders>
            <w:shd w:val="clear" w:color="auto" w:fill="FFFFFF"/>
            <w:hideMark/>
          </w:tcPr>
          <w:p w14:paraId="59966D2B" w14:textId="77777777" w:rsidR="00B731C3" w:rsidRPr="00CB6837" w:rsidRDefault="00B731C3" w:rsidP="00A13E67">
            <w:pPr>
              <w:spacing w:after="0" w:line="240" w:lineRule="auto"/>
              <w:jc w:val="center"/>
              <w:rPr>
                <w:rFonts w:ascii="inherit" w:eastAsia="Times New Roman" w:hAnsi="inherit" w:cs="Times New Roman"/>
                <w:color w:val="000000"/>
                <w:lang w:eastAsia="et-EE"/>
              </w:rPr>
            </w:pPr>
            <w:r w:rsidRPr="00CB6837">
              <w:rPr>
                <w:rFonts w:ascii="inherit" w:eastAsia="Times New Roman" w:hAnsi="inherit" w:cs="Times New Roman"/>
                <w:color w:val="000000"/>
                <w:lang w:eastAsia="et-EE"/>
              </w:rPr>
              <w:t>EI</w:t>
            </w:r>
          </w:p>
        </w:tc>
        <w:tc>
          <w:tcPr>
            <w:tcW w:w="2138" w:type="dxa"/>
            <w:tcBorders>
              <w:top w:val="single" w:sz="6" w:space="0" w:color="000000"/>
              <w:left w:val="single" w:sz="6" w:space="0" w:color="000000"/>
              <w:bottom w:val="single" w:sz="6" w:space="0" w:color="000000"/>
              <w:right w:val="single" w:sz="6" w:space="0" w:color="000000"/>
            </w:tcBorders>
            <w:shd w:val="clear" w:color="auto" w:fill="FFFFFF"/>
            <w:hideMark/>
          </w:tcPr>
          <w:p w14:paraId="7AE70354" w14:textId="77777777" w:rsidR="00B731C3" w:rsidRPr="00CB6837" w:rsidRDefault="00B731C3" w:rsidP="00A13E67">
            <w:pPr>
              <w:spacing w:after="0" w:line="240" w:lineRule="auto"/>
              <w:jc w:val="center"/>
              <w:rPr>
                <w:rFonts w:ascii="inherit" w:eastAsia="Times New Roman" w:hAnsi="inherit" w:cs="Times New Roman"/>
                <w:color w:val="000000"/>
                <w:lang w:eastAsia="et-EE"/>
              </w:rPr>
            </w:pPr>
            <w:r w:rsidRPr="00CB6837">
              <w:rPr>
                <w:rFonts w:ascii="inherit" w:eastAsia="Times New Roman" w:hAnsi="inherit" w:cs="Times New Roman"/>
                <w:color w:val="000000"/>
                <w:lang w:eastAsia="et-EE"/>
              </w:rPr>
              <w:t>EI</w:t>
            </w:r>
          </w:p>
        </w:tc>
      </w:tr>
      <w:tr w:rsidR="00B731C3" w:rsidRPr="00CB6837" w14:paraId="6CB83785" w14:textId="77777777" w:rsidTr="00A13E67">
        <w:tc>
          <w:tcPr>
            <w:tcW w:w="98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2576A1" w14:textId="77777777" w:rsidR="00B731C3" w:rsidRPr="00CB6837" w:rsidRDefault="00B731C3" w:rsidP="00A13E67">
            <w:pPr>
              <w:spacing w:after="0" w:line="240" w:lineRule="auto"/>
              <w:rPr>
                <w:rFonts w:ascii="inherit" w:eastAsia="Times New Roman" w:hAnsi="inherit" w:cs="Times New Roman"/>
                <w:color w:val="000000"/>
                <w:lang w:eastAsia="et-EE"/>
              </w:rPr>
            </w:pPr>
          </w:p>
        </w:tc>
        <w:tc>
          <w:tcPr>
            <w:tcW w:w="1275" w:type="dxa"/>
            <w:tcBorders>
              <w:top w:val="single" w:sz="6" w:space="0" w:color="000000"/>
              <w:left w:val="single" w:sz="6" w:space="0" w:color="000000"/>
              <w:bottom w:val="single" w:sz="6" w:space="0" w:color="000000"/>
              <w:right w:val="single" w:sz="6" w:space="0" w:color="000000"/>
            </w:tcBorders>
            <w:shd w:val="clear" w:color="auto" w:fill="FFFFFF"/>
            <w:hideMark/>
          </w:tcPr>
          <w:p w14:paraId="4344B530" w14:textId="77777777" w:rsidR="00B731C3" w:rsidRPr="00CB6837" w:rsidRDefault="00B731C3" w:rsidP="00A13E67">
            <w:pPr>
              <w:spacing w:after="0" w:line="240" w:lineRule="auto"/>
              <w:rPr>
                <w:rFonts w:ascii="inherit" w:eastAsia="Times New Roman" w:hAnsi="inherit" w:cs="Times New Roman"/>
                <w:color w:val="000000"/>
                <w:lang w:eastAsia="et-EE"/>
              </w:rPr>
            </w:pPr>
            <w:r w:rsidRPr="00CB6837">
              <w:rPr>
                <w:rFonts w:ascii="inherit" w:eastAsia="Times New Roman" w:hAnsi="inherit" w:cs="Times New Roman"/>
                <w:color w:val="000000"/>
                <w:lang w:eastAsia="et-EE"/>
              </w:rPr>
              <w:t>Sotsiaaleluruumid, mille renoveerimine EI ole kuluneutraalne</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3DE7BCD7" w14:textId="77777777" w:rsidR="00B731C3" w:rsidRPr="00CB6837" w:rsidRDefault="00B731C3" w:rsidP="00A13E67">
            <w:pPr>
              <w:spacing w:after="0" w:line="240" w:lineRule="auto"/>
              <w:jc w:val="center"/>
              <w:rPr>
                <w:rFonts w:ascii="inherit" w:eastAsia="Times New Roman" w:hAnsi="inherit" w:cs="Times New Roman"/>
                <w:color w:val="000000"/>
                <w:lang w:eastAsia="et-EE"/>
              </w:rPr>
            </w:pPr>
            <w:r w:rsidRPr="00CB6837">
              <w:rPr>
                <w:rFonts w:ascii="inherit" w:eastAsia="Times New Roman" w:hAnsi="inherit" w:cs="Times New Roman"/>
                <w:color w:val="000000"/>
                <w:lang w:eastAsia="et-EE"/>
              </w:rPr>
              <w:t>JAH</w:t>
            </w:r>
          </w:p>
        </w:tc>
        <w:tc>
          <w:tcPr>
            <w:tcW w:w="1559" w:type="dxa"/>
            <w:tcBorders>
              <w:top w:val="single" w:sz="6" w:space="0" w:color="000000"/>
              <w:left w:val="single" w:sz="6" w:space="0" w:color="000000"/>
              <w:bottom w:val="single" w:sz="6" w:space="0" w:color="000000"/>
              <w:right w:val="single" w:sz="6" w:space="0" w:color="000000"/>
            </w:tcBorders>
            <w:shd w:val="clear" w:color="auto" w:fill="FFFFFF"/>
            <w:hideMark/>
          </w:tcPr>
          <w:p w14:paraId="7E446C1A" w14:textId="77777777" w:rsidR="00B731C3" w:rsidRPr="00CB6837" w:rsidRDefault="00B731C3" w:rsidP="00A13E67">
            <w:pPr>
              <w:spacing w:after="0" w:line="240" w:lineRule="auto"/>
              <w:jc w:val="center"/>
              <w:rPr>
                <w:rFonts w:ascii="inherit" w:eastAsia="Times New Roman" w:hAnsi="inherit" w:cs="Times New Roman"/>
                <w:color w:val="000000"/>
                <w:lang w:eastAsia="et-EE"/>
              </w:rPr>
            </w:pPr>
            <w:r w:rsidRPr="00CB6837">
              <w:rPr>
                <w:rFonts w:ascii="inherit" w:eastAsia="Times New Roman" w:hAnsi="inherit" w:cs="Times New Roman"/>
                <w:color w:val="000000"/>
                <w:lang w:eastAsia="et-EE"/>
              </w:rPr>
              <w:t>EI</w:t>
            </w:r>
          </w:p>
        </w:tc>
        <w:tc>
          <w:tcPr>
            <w:tcW w:w="1843" w:type="dxa"/>
            <w:tcBorders>
              <w:top w:val="single" w:sz="6" w:space="0" w:color="000000"/>
              <w:left w:val="single" w:sz="6" w:space="0" w:color="000000"/>
              <w:bottom w:val="single" w:sz="6" w:space="0" w:color="000000"/>
              <w:right w:val="single" w:sz="6" w:space="0" w:color="000000"/>
            </w:tcBorders>
            <w:shd w:val="clear" w:color="auto" w:fill="FFFFFF"/>
            <w:hideMark/>
          </w:tcPr>
          <w:p w14:paraId="21F42625" w14:textId="77777777" w:rsidR="00B731C3" w:rsidRPr="00CB6837" w:rsidRDefault="00B731C3" w:rsidP="00A13E67">
            <w:pPr>
              <w:spacing w:after="0" w:line="240" w:lineRule="auto"/>
              <w:jc w:val="center"/>
              <w:rPr>
                <w:rFonts w:ascii="inherit" w:eastAsia="Times New Roman" w:hAnsi="inherit" w:cs="Times New Roman"/>
                <w:color w:val="000000"/>
                <w:lang w:eastAsia="et-EE"/>
              </w:rPr>
            </w:pPr>
            <w:r w:rsidRPr="00CB6837">
              <w:rPr>
                <w:rFonts w:ascii="inherit" w:eastAsia="Times New Roman" w:hAnsi="inherit" w:cs="Times New Roman"/>
                <w:color w:val="000000"/>
                <w:lang w:eastAsia="et-EE"/>
              </w:rPr>
              <w:t>EI</w:t>
            </w:r>
          </w:p>
        </w:tc>
        <w:tc>
          <w:tcPr>
            <w:tcW w:w="2138" w:type="dxa"/>
            <w:tcBorders>
              <w:top w:val="single" w:sz="6" w:space="0" w:color="000000"/>
              <w:left w:val="single" w:sz="6" w:space="0" w:color="000000"/>
              <w:bottom w:val="single" w:sz="6" w:space="0" w:color="000000"/>
              <w:right w:val="single" w:sz="6" w:space="0" w:color="000000"/>
            </w:tcBorders>
            <w:shd w:val="clear" w:color="auto" w:fill="FFFFFF"/>
            <w:hideMark/>
          </w:tcPr>
          <w:p w14:paraId="2E68274B" w14:textId="77777777" w:rsidR="00B731C3" w:rsidRPr="00CB6837" w:rsidRDefault="00B731C3" w:rsidP="00A13E67">
            <w:pPr>
              <w:spacing w:after="0" w:line="240" w:lineRule="auto"/>
              <w:jc w:val="center"/>
              <w:rPr>
                <w:rFonts w:ascii="inherit" w:eastAsia="Times New Roman" w:hAnsi="inherit" w:cs="Times New Roman"/>
                <w:color w:val="000000"/>
                <w:lang w:eastAsia="et-EE"/>
              </w:rPr>
            </w:pPr>
            <w:r w:rsidRPr="00CB6837">
              <w:rPr>
                <w:rFonts w:ascii="inherit" w:eastAsia="Times New Roman" w:hAnsi="inherit" w:cs="Times New Roman"/>
                <w:color w:val="000000"/>
                <w:lang w:eastAsia="et-EE"/>
              </w:rPr>
              <w:t>EI</w:t>
            </w:r>
          </w:p>
        </w:tc>
      </w:tr>
      <w:tr w:rsidR="00B731C3" w:rsidRPr="00CB6837" w14:paraId="29D73F54" w14:textId="77777777" w:rsidTr="00A13E67">
        <w:tc>
          <w:tcPr>
            <w:tcW w:w="98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36C9E5" w14:textId="77777777" w:rsidR="00B731C3" w:rsidRPr="00CB6837" w:rsidRDefault="00B731C3" w:rsidP="00A13E67">
            <w:pPr>
              <w:spacing w:after="0" w:line="240" w:lineRule="auto"/>
              <w:rPr>
                <w:rFonts w:ascii="inherit" w:eastAsia="Times New Roman" w:hAnsi="inherit" w:cs="Times New Roman"/>
                <w:color w:val="000000"/>
                <w:lang w:eastAsia="et-EE"/>
              </w:rPr>
            </w:pPr>
          </w:p>
        </w:tc>
        <w:tc>
          <w:tcPr>
            <w:tcW w:w="1275" w:type="dxa"/>
            <w:tcBorders>
              <w:top w:val="single" w:sz="6" w:space="0" w:color="000000"/>
              <w:left w:val="single" w:sz="6" w:space="0" w:color="000000"/>
              <w:bottom w:val="single" w:sz="6" w:space="0" w:color="000000"/>
              <w:right w:val="single" w:sz="6" w:space="0" w:color="000000"/>
            </w:tcBorders>
            <w:shd w:val="clear" w:color="auto" w:fill="FFFFFF"/>
            <w:hideMark/>
          </w:tcPr>
          <w:p w14:paraId="3AEC5BA4" w14:textId="77777777" w:rsidR="00B731C3" w:rsidRPr="00CB6837" w:rsidRDefault="00B731C3" w:rsidP="00A13E67">
            <w:pPr>
              <w:spacing w:after="0" w:line="240" w:lineRule="auto"/>
              <w:rPr>
                <w:rFonts w:ascii="inherit" w:eastAsia="Times New Roman" w:hAnsi="inherit" w:cs="Times New Roman"/>
                <w:color w:val="000000"/>
                <w:lang w:eastAsia="et-EE"/>
              </w:rPr>
            </w:pPr>
            <w:r w:rsidRPr="00CB6837">
              <w:rPr>
                <w:rFonts w:ascii="inherit" w:eastAsia="Times New Roman" w:hAnsi="inherit" w:cs="Times New Roman"/>
                <w:color w:val="000000"/>
                <w:lang w:eastAsia="et-EE"/>
              </w:rPr>
              <w:t>Sotsiaaleluruumid, mille renoveerimine on kuluneutraalne</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18846963" w14:textId="77777777" w:rsidR="00B731C3" w:rsidRPr="00CB6837" w:rsidRDefault="00B731C3" w:rsidP="00A13E67">
            <w:pPr>
              <w:spacing w:after="0" w:line="240" w:lineRule="auto"/>
              <w:jc w:val="center"/>
              <w:rPr>
                <w:rFonts w:ascii="inherit" w:eastAsia="Times New Roman" w:hAnsi="inherit" w:cs="Times New Roman"/>
                <w:color w:val="000000"/>
                <w:lang w:eastAsia="et-EE"/>
              </w:rPr>
            </w:pPr>
            <w:r w:rsidRPr="00CB6837">
              <w:rPr>
                <w:rFonts w:ascii="inherit" w:eastAsia="Times New Roman" w:hAnsi="inherit" w:cs="Times New Roman"/>
                <w:color w:val="000000"/>
                <w:lang w:eastAsia="et-EE"/>
              </w:rPr>
              <w:t>JAH</w:t>
            </w:r>
          </w:p>
        </w:tc>
        <w:tc>
          <w:tcPr>
            <w:tcW w:w="1559" w:type="dxa"/>
            <w:tcBorders>
              <w:top w:val="single" w:sz="6" w:space="0" w:color="000000"/>
              <w:left w:val="single" w:sz="6" w:space="0" w:color="000000"/>
              <w:bottom w:val="single" w:sz="6" w:space="0" w:color="000000"/>
              <w:right w:val="single" w:sz="6" w:space="0" w:color="000000"/>
            </w:tcBorders>
            <w:shd w:val="clear" w:color="auto" w:fill="FFFFFF"/>
            <w:hideMark/>
          </w:tcPr>
          <w:p w14:paraId="2ACBC765" w14:textId="77777777" w:rsidR="00B731C3" w:rsidRPr="00CB6837" w:rsidRDefault="00B731C3" w:rsidP="00A13E67">
            <w:pPr>
              <w:spacing w:after="0" w:line="240" w:lineRule="auto"/>
              <w:jc w:val="center"/>
              <w:rPr>
                <w:rFonts w:ascii="inherit" w:eastAsia="Times New Roman" w:hAnsi="inherit" w:cs="Times New Roman"/>
                <w:color w:val="000000"/>
                <w:lang w:eastAsia="et-EE"/>
              </w:rPr>
            </w:pPr>
            <w:r w:rsidRPr="00CB6837">
              <w:rPr>
                <w:rFonts w:ascii="inherit" w:eastAsia="Times New Roman" w:hAnsi="inherit" w:cs="Times New Roman"/>
                <w:color w:val="000000"/>
                <w:lang w:eastAsia="et-EE"/>
              </w:rPr>
              <w:t>JAH</w:t>
            </w:r>
          </w:p>
        </w:tc>
        <w:tc>
          <w:tcPr>
            <w:tcW w:w="1843" w:type="dxa"/>
            <w:tcBorders>
              <w:top w:val="single" w:sz="6" w:space="0" w:color="000000"/>
              <w:left w:val="single" w:sz="6" w:space="0" w:color="000000"/>
              <w:bottom w:val="single" w:sz="6" w:space="0" w:color="000000"/>
              <w:right w:val="single" w:sz="6" w:space="0" w:color="000000"/>
            </w:tcBorders>
            <w:shd w:val="clear" w:color="auto" w:fill="FFFFFF"/>
            <w:hideMark/>
          </w:tcPr>
          <w:p w14:paraId="66AD2BA8" w14:textId="77777777" w:rsidR="00B731C3" w:rsidRPr="00CB6837" w:rsidRDefault="00B731C3" w:rsidP="00A13E67">
            <w:pPr>
              <w:spacing w:after="0" w:line="240" w:lineRule="auto"/>
              <w:jc w:val="center"/>
              <w:rPr>
                <w:rFonts w:ascii="inherit" w:eastAsia="Times New Roman" w:hAnsi="inherit" w:cs="Times New Roman"/>
                <w:color w:val="000000"/>
                <w:lang w:eastAsia="et-EE"/>
              </w:rPr>
            </w:pPr>
            <w:r w:rsidRPr="00CB6837">
              <w:rPr>
                <w:rFonts w:ascii="inherit" w:eastAsia="Times New Roman" w:hAnsi="inherit" w:cs="Times New Roman"/>
                <w:color w:val="000000"/>
                <w:lang w:eastAsia="et-EE"/>
              </w:rPr>
              <w:t>JAH</w:t>
            </w:r>
          </w:p>
        </w:tc>
        <w:tc>
          <w:tcPr>
            <w:tcW w:w="2138" w:type="dxa"/>
            <w:tcBorders>
              <w:top w:val="single" w:sz="6" w:space="0" w:color="000000"/>
              <w:left w:val="single" w:sz="6" w:space="0" w:color="000000"/>
              <w:bottom w:val="single" w:sz="6" w:space="0" w:color="000000"/>
              <w:right w:val="single" w:sz="6" w:space="0" w:color="000000"/>
            </w:tcBorders>
            <w:shd w:val="clear" w:color="auto" w:fill="FFFFFF"/>
            <w:hideMark/>
          </w:tcPr>
          <w:p w14:paraId="1C70AE31" w14:textId="77777777" w:rsidR="00B731C3" w:rsidRPr="00CB6837" w:rsidRDefault="00B731C3" w:rsidP="00A13E67">
            <w:pPr>
              <w:spacing w:after="0" w:line="240" w:lineRule="auto"/>
              <w:jc w:val="center"/>
              <w:rPr>
                <w:rFonts w:ascii="inherit" w:eastAsia="Times New Roman" w:hAnsi="inherit" w:cs="Times New Roman"/>
                <w:color w:val="000000"/>
                <w:lang w:eastAsia="et-EE"/>
              </w:rPr>
            </w:pPr>
            <w:r w:rsidRPr="00CB6837">
              <w:rPr>
                <w:rFonts w:ascii="inherit" w:eastAsia="Times New Roman" w:hAnsi="inherit" w:cs="Times New Roman"/>
                <w:color w:val="000000"/>
                <w:lang w:eastAsia="et-EE"/>
              </w:rPr>
              <w:t>JAH</w:t>
            </w:r>
          </w:p>
        </w:tc>
      </w:tr>
      <w:tr w:rsidR="00B731C3" w:rsidRPr="00CB6837" w14:paraId="1F3E81A3" w14:textId="77777777" w:rsidTr="00A13E67">
        <w:tc>
          <w:tcPr>
            <w:tcW w:w="98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A555D4" w14:textId="77777777" w:rsidR="00B731C3" w:rsidRPr="00CB6837" w:rsidRDefault="00B731C3" w:rsidP="00A13E67">
            <w:pPr>
              <w:spacing w:after="0" w:line="240" w:lineRule="auto"/>
              <w:rPr>
                <w:rFonts w:ascii="inherit" w:eastAsia="Times New Roman" w:hAnsi="inherit" w:cs="Times New Roman"/>
                <w:color w:val="000000"/>
                <w:lang w:eastAsia="et-EE"/>
              </w:rPr>
            </w:pPr>
          </w:p>
        </w:tc>
        <w:tc>
          <w:tcPr>
            <w:tcW w:w="1275" w:type="dxa"/>
            <w:tcBorders>
              <w:top w:val="single" w:sz="6" w:space="0" w:color="000000"/>
              <w:left w:val="single" w:sz="6" w:space="0" w:color="000000"/>
              <w:bottom w:val="single" w:sz="6" w:space="0" w:color="000000"/>
              <w:right w:val="single" w:sz="6" w:space="0" w:color="000000"/>
            </w:tcBorders>
            <w:shd w:val="clear" w:color="auto" w:fill="FFFFFF"/>
            <w:hideMark/>
          </w:tcPr>
          <w:p w14:paraId="7EDA7776" w14:textId="77777777" w:rsidR="00B731C3" w:rsidRPr="00CB6837" w:rsidRDefault="00B731C3" w:rsidP="00A13E67">
            <w:pPr>
              <w:spacing w:after="0" w:line="240" w:lineRule="auto"/>
              <w:rPr>
                <w:rFonts w:ascii="inherit" w:eastAsia="Times New Roman" w:hAnsi="inherit" w:cs="Times New Roman"/>
                <w:color w:val="000000"/>
                <w:lang w:eastAsia="et-EE"/>
              </w:rPr>
            </w:pPr>
            <w:r w:rsidRPr="00CB6837">
              <w:rPr>
                <w:rFonts w:ascii="inherit" w:eastAsia="Times New Roman" w:hAnsi="inherit" w:cs="Times New Roman"/>
                <w:color w:val="000000"/>
                <w:lang w:eastAsia="et-EE"/>
              </w:rPr>
              <w:t xml:space="preserve">Hooned, mille muutmine </w:t>
            </w:r>
            <w:r w:rsidRPr="00CB6837">
              <w:rPr>
                <w:rFonts w:ascii="inherit" w:eastAsia="Times New Roman" w:hAnsi="inherit" w:cs="Times New Roman"/>
                <w:color w:val="000000"/>
                <w:lang w:eastAsia="et-EE"/>
              </w:rPr>
              <w:lastRenderedPageBreak/>
              <w:t>liginullenergiahooneks ei ole tehniliselt, majanduslikult või funktsionaalselt teostatav)</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1E25D4B8" w14:textId="77777777" w:rsidR="00B731C3" w:rsidRPr="00CB6837" w:rsidRDefault="00B731C3" w:rsidP="00A13E67">
            <w:pPr>
              <w:spacing w:after="0" w:line="240" w:lineRule="auto"/>
              <w:jc w:val="center"/>
              <w:rPr>
                <w:rFonts w:ascii="inherit" w:eastAsia="Times New Roman" w:hAnsi="inherit" w:cs="Times New Roman"/>
                <w:color w:val="000000"/>
                <w:lang w:eastAsia="et-EE"/>
              </w:rPr>
            </w:pPr>
            <w:r w:rsidRPr="00CB6837">
              <w:rPr>
                <w:rFonts w:ascii="inherit" w:eastAsia="Times New Roman" w:hAnsi="inherit" w:cs="Times New Roman"/>
                <w:color w:val="000000"/>
                <w:lang w:eastAsia="et-EE"/>
              </w:rPr>
              <w:lastRenderedPageBreak/>
              <w:t>JAH</w:t>
            </w:r>
          </w:p>
        </w:tc>
        <w:tc>
          <w:tcPr>
            <w:tcW w:w="1559" w:type="dxa"/>
            <w:tcBorders>
              <w:top w:val="single" w:sz="6" w:space="0" w:color="000000"/>
              <w:left w:val="single" w:sz="6" w:space="0" w:color="000000"/>
              <w:bottom w:val="single" w:sz="6" w:space="0" w:color="000000"/>
              <w:right w:val="single" w:sz="6" w:space="0" w:color="000000"/>
            </w:tcBorders>
            <w:shd w:val="clear" w:color="auto" w:fill="FFFFFF"/>
            <w:hideMark/>
          </w:tcPr>
          <w:p w14:paraId="2C5E4B38" w14:textId="77777777" w:rsidR="00B731C3" w:rsidRPr="00CB6837" w:rsidRDefault="00B731C3" w:rsidP="00A13E67">
            <w:pPr>
              <w:spacing w:after="0" w:line="240" w:lineRule="auto"/>
              <w:jc w:val="center"/>
              <w:rPr>
                <w:rFonts w:ascii="inherit" w:eastAsia="Times New Roman" w:hAnsi="inherit" w:cs="Times New Roman"/>
                <w:color w:val="000000"/>
                <w:lang w:eastAsia="et-EE"/>
              </w:rPr>
            </w:pPr>
            <w:r w:rsidRPr="00CB6837">
              <w:rPr>
                <w:rFonts w:ascii="inherit" w:eastAsia="Times New Roman" w:hAnsi="inherit" w:cs="Times New Roman"/>
                <w:color w:val="000000"/>
                <w:lang w:eastAsia="et-EE"/>
              </w:rPr>
              <w:t>JAH</w:t>
            </w:r>
          </w:p>
        </w:tc>
        <w:tc>
          <w:tcPr>
            <w:tcW w:w="1843" w:type="dxa"/>
            <w:tcBorders>
              <w:top w:val="single" w:sz="6" w:space="0" w:color="000000"/>
              <w:left w:val="single" w:sz="6" w:space="0" w:color="000000"/>
              <w:bottom w:val="single" w:sz="6" w:space="0" w:color="000000"/>
              <w:right w:val="single" w:sz="6" w:space="0" w:color="000000"/>
            </w:tcBorders>
            <w:shd w:val="clear" w:color="auto" w:fill="FFFFFF"/>
            <w:hideMark/>
          </w:tcPr>
          <w:p w14:paraId="38787BE9" w14:textId="77777777" w:rsidR="00B731C3" w:rsidRPr="00CB6837" w:rsidRDefault="00B731C3" w:rsidP="00A13E67">
            <w:pPr>
              <w:spacing w:after="0" w:line="240" w:lineRule="auto"/>
              <w:jc w:val="center"/>
              <w:rPr>
                <w:rFonts w:ascii="inherit" w:eastAsia="Times New Roman" w:hAnsi="inherit" w:cs="Times New Roman"/>
                <w:color w:val="000000"/>
                <w:lang w:eastAsia="et-EE"/>
              </w:rPr>
            </w:pPr>
            <w:r w:rsidRPr="00CB6837">
              <w:rPr>
                <w:rFonts w:ascii="inherit" w:eastAsia="Times New Roman" w:hAnsi="inherit" w:cs="Times New Roman"/>
                <w:color w:val="000000"/>
                <w:lang w:eastAsia="et-EE"/>
              </w:rPr>
              <w:t>EI</w:t>
            </w:r>
          </w:p>
        </w:tc>
        <w:tc>
          <w:tcPr>
            <w:tcW w:w="2138" w:type="dxa"/>
            <w:tcBorders>
              <w:top w:val="single" w:sz="6" w:space="0" w:color="000000"/>
              <w:left w:val="single" w:sz="6" w:space="0" w:color="000000"/>
              <w:bottom w:val="single" w:sz="6" w:space="0" w:color="000000"/>
              <w:right w:val="single" w:sz="6" w:space="0" w:color="000000"/>
            </w:tcBorders>
            <w:shd w:val="clear" w:color="auto" w:fill="FFFFFF"/>
            <w:hideMark/>
          </w:tcPr>
          <w:p w14:paraId="013667F3" w14:textId="77777777" w:rsidR="00B731C3" w:rsidRPr="00CB6837" w:rsidRDefault="00B731C3" w:rsidP="00A13E67">
            <w:pPr>
              <w:spacing w:after="0" w:line="240" w:lineRule="auto"/>
              <w:jc w:val="center"/>
              <w:rPr>
                <w:rFonts w:ascii="inherit" w:eastAsia="Times New Roman" w:hAnsi="inherit" w:cs="Times New Roman"/>
                <w:color w:val="000000"/>
                <w:lang w:eastAsia="et-EE"/>
              </w:rPr>
            </w:pPr>
            <w:r w:rsidRPr="00CB6837">
              <w:rPr>
                <w:rFonts w:ascii="inherit" w:eastAsia="Times New Roman" w:hAnsi="inherit" w:cs="Times New Roman"/>
                <w:color w:val="000000"/>
                <w:lang w:eastAsia="et-EE"/>
              </w:rPr>
              <w:t>JAH</w:t>
            </w:r>
            <w:hyperlink r:id="rId19" w:anchor="ntr48-L_202401716ET.000301-E0048" w:history="1">
              <w:r>
                <w:rPr>
                  <w:rStyle w:val="Allmrkuseviide"/>
                  <w:rFonts w:ascii="inherit" w:eastAsia="Times New Roman" w:hAnsi="inherit" w:cs="Times New Roman"/>
                  <w:color w:val="000000"/>
                  <w:lang w:eastAsia="et-EE"/>
                </w:rPr>
                <w:footnoteReference w:id="40"/>
              </w:r>
            </w:hyperlink>
          </w:p>
        </w:tc>
      </w:tr>
      <w:tr w:rsidR="00B731C3" w:rsidRPr="00CB6837" w14:paraId="0AF47B00" w14:textId="77777777" w:rsidTr="00A13E67">
        <w:tc>
          <w:tcPr>
            <w:tcW w:w="98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001213" w14:textId="77777777" w:rsidR="00B731C3" w:rsidRPr="00CB6837" w:rsidRDefault="00B731C3" w:rsidP="00A13E67">
            <w:pPr>
              <w:spacing w:after="0" w:line="240" w:lineRule="auto"/>
              <w:rPr>
                <w:rFonts w:ascii="inherit" w:eastAsia="Times New Roman" w:hAnsi="inherit" w:cs="Times New Roman"/>
                <w:color w:val="000000"/>
                <w:lang w:eastAsia="et-EE"/>
              </w:rPr>
            </w:pPr>
          </w:p>
        </w:tc>
        <w:tc>
          <w:tcPr>
            <w:tcW w:w="1275" w:type="dxa"/>
            <w:tcBorders>
              <w:top w:val="single" w:sz="6" w:space="0" w:color="000000"/>
              <w:left w:val="single" w:sz="6" w:space="0" w:color="000000"/>
              <w:bottom w:val="single" w:sz="6" w:space="0" w:color="000000"/>
              <w:right w:val="single" w:sz="6" w:space="0" w:color="000000"/>
            </w:tcBorders>
            <w:shd w:val="clear" w:color="auto" w:fill="FFFFFF"/>
            <w:hideMark/>
          </w:tcPr>
          <w:p w14:paraId="69C2294C" w14:textId="77777777" w:rsidR="00B731C3" w:rsidRPr="00CB6837" w:rsidRDefault="00B731C3" w:rsidP="00A13E67">
            <w:pPr>
              <w:spacing w:after="0" w:line="240" w:lineRule="auto"/>
              <w:rPr>
                <w:rFonts w:ascii="inherit" w:eastAsia="Times New Roman" w:hAnsi="inherit" w:cs="Times New Roman"/>
                <w:color w:val="000000"/>
                <w:lang w:eastAsia="et-EE"/>
              </w:rPr>
            </w:pPr>
            <w:r>
              <w:rPr>
                <w:rFonts w:ascii="inherit" w:eastAsia="Times New Roman" w:hAnsi="inherit" w:cs="Times New Roman"/>
                <w:color w:val="000000"/>
                <w:lang w:eastAsia="et-EE"/>
              </w:rPr>
              <w:t xml:space="preserve">Erihooned, millele energiatõhususe miinimumnõuded ei kohaldu EhSi § 62 lg 2 järgi. </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58B72837" w14:textId="77777777" w:rsidR="00B731C3" w:rsidRPr="00CB6837" w:rsidRDefault="00B731C3" w:rsidP="00A13E67">
            <w:pPr>
              <w:spacing w:after="0" w:line="240" w:lineRule="auto"/>
              <w:jc w:val="center"/>
              <w:rPr>
                <w:rFonts w:ascii="inherit" w:eastAsia="Times New Roman" w:hAnsi="inherit" w:cs="Times New Roman"/>
                <w:color w:val="000000"/>
                <w:lang w:eastAsia="et-EE"/>
              </w:rPr>
            </w:pPr>
            <w:r w:rsidRPr="00CB6837">
              <w:rPr>
                <w:rFonts w:ascii="inherit" w:eastAsia="Times New Roman" w:hAnsi="inherit" w:cs="Times New Roman"/>
                <w:color w:val="000000"/>
                <w:lang w:eastAsia="et-EE"/>
              </w:rPr>
              <w:t>JAH</w:t>
            </w:r>
          </w:p>
        </w:tc>
        <w:tc>
          <w:tcPr>
            <w:tcW w:w="1559" w:type="dxa"/>
            <w:tcBorders>
              <w:top w:val="single" w:sz="6" w:space="0" w:color="000000"/>
              <w:left w:val="single" w:sz="6" w:space="0" w:color="000000"/>
              <w:bottom w:val="single" w:sz="6" w:space="0" w:color="000000"/>
              <w:right w:val="single" w:sz="6" w:space="0" w:color="000000"/>
            </w:tcBorders>
            <w:shd w:val="clear" w:color="auto" w:fill="FFFFFF"/>
            <w:hideMark/>
          </w:tcPr>
          <w:p w14:paraId="058EBD7F" w14:textId="77777777" w:rsidR="00B731C3" w:rsidRPr="00CB6837" w:rsidRDefault="00B731C3" w:rsidP="00A13E67">
            <w:pPr>
              <w:spacing w:after="0" w:line="240" w:lineRule="auto"/>
              <w:jc w:val="center"/>
              <w:rPr>
                <w:rFonts w:ascii="inherit" w:eastAsia="Times New Roman" w:hAnsi="inherit" w:cs="Times New Roman"/>
                <w:color w:val="000000"/>
                <w:lang w:eastAsia="et-EE"/>
              </w:rPr>
            </w:pPr>
            <w:r w:rsidRPr="00CB6837">
              <w:rPr>
                <w:rFonts w:ascii="inherit" w:eastAsia="Times New Roman" w:hAnsi="inherit" w:cs="Times New Roman"/>
                <w:color w:val="000000"/>
                <w:lang w:eastAsia="et-EE"/>
              </w:rPr>
              <w:t>JAH</w:t>
            </w:r>
          </w:p>
        </w:tc>
        <w:tc>
          <w:tcPr>
            <w:tcW w:w="1843" w:type="dxa"/>
            <w:tcBorders>
              <w:top w:val="single" w:sz="6" w:space="0" w:color="000000"/>
              <w:left w:val="single" w:sz="6" w:space="0" w:color="000000"/>
              <w:bottom w:val="single" w:sz="6" w:space="0" w:color="000000"/>
              <w:right w:val="single" w:sz="6" w:space="0" w:color="000000"/>
            </w:tcBorders>
            <w:shd w:val="clear" w:color="auto" w:fill="FFFFFF"/>
            <w:hideMark/>
          </w:tcPr>
          <w:p w14:paraId="500859BF" w14:textId="77777777" w:rsidR="00B731C3" w:rsidRPr="00CB6837" w:rsidRDefault="00B731C3" w:rsidP="00A13E67">
            <w:pPr>
              <w:spacing w:after="0" w:line="240" w:lineRule="auto"/>
              <w:jc w:val="center"/>
              <w:rPr>
                <w:rFonts w:ascii="inherit" w:eastAsia="Times New Roman" w:hAnsi="inherit" w:cs="Times New Roman"/>
                <w:color w:val="000000"/>
                <w:lang w:eastAsia="et-EE"/>
              </w:rPr>
            </w:pPr>
            <w:r w:rsidRPr="00CB6837">
              <w:rPr>
                <w:rFonts w:ascii="inherit" w:eastAsia="Times New Roman" w:hAnsi="inherit" w:cs="Times New Roman"/>
                <w:color w:val="000000"/>
                <w:lang w:eastAsia="et-EE"/>
              </w:rPr>
              <w:t>JAH</w:t>
            </w:r>
          </w:p>
        </w:tc>
        <w:tc>
          <w:tcPr>
            <w:tcW w:w="2138" w:type="dxa"/>
            <w:tcBorders>
              <w:top w:val="single" w:sz="6" w:space="0" w:color="000000"/>
              <w:left w:val="single" w:sz="6" w:space="0" w:color="000000"/>
              <w:bottom w:val="single" w:sz="6" w:space="0" w:color="000000"/>
              <w:right w:val="single" w:sz="6" w:space="0" w:color="000000"/>
            </w:tcBorders>
            <w:shd w:val="clear" w:color="auto" w:fill="FFFFFF"/>
            <w:hideMark/>
          </w:tcPr>
          <w:p w14:paraId="6B67DF75" w14:textId="77777777" w:rsidR="00B731C3" w:rsidRPr="00CB6837" w:rsidRDefault="00B731C3" w:rsidP="00A13E67">
            <w:pPr>
              <w:spacing w:after="0" w:line="240" w:lineRule="auto"/>
              <w:jc w:val="center"/>
              <w:rPr>
                <w:rFonts w:ascii="inherit" w:eastAsia="Times New Roman" w:hAnsi="inherit" w:cs="Times New Roman"/>
                <w:color w:val="000000"/>
                <w:lang w:eastAsia="et-EE"/>
              </w:rPr>
            </w:pPr>
            <w:r w:rsidRPr="00CB6837">
              <w:rPr>
                <w:rFonts w:ascii="inherit" w:eastAsia="Times New Roman" w:hAnsi="inherit" w:cs="Times New Roman"/>
                <w:color w:val="000000"/>
                <w:lang w:eastAsia="et-EE"/>
              </w:rPr>
              <w:t>JAH</w:t>
            </w:r>
            <w:r>
              <w:rPr>
                <w:rStyle w:val="Allmrkuseviide"/>
                <w:rFonts w:ascii="inherit" w:eastAsia="Times New Roman" w:hAnsi="inherit" w:cs="Times New Roman"/>
                <w:color w:val="000000"/>
                <w:lang w:eastAsia="et-EE"/>
              </w:rPr>
              <w:footnoteReference w:id="41"/>
            </w:r>
          </w:p>
        </w:tc>
      </w:tr>
      <w:tr w:rsidR="00B731C3" w:rsidRPr="00CB6837" w14:paraId="2BF7BC59" w14:textId="77777777" w:rsidTr="00A13E67">
        <w:tc>
          <w:tcPr>
            <w:tcW w:w="98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1F6D44" w14:textId="77777777" w:rsidR="00B731C3" w:rsidRPr="00CB6837" w:rsidRDefault="00B731C3" w:rsidP="00A13E67">
            <w:pPr>
              <w:spacing w:after="0" w:line="240" w:lineRule="auto"/>
              <w:rPr>
                <w:rFonts w:ascii="inherit" w:eastAsia="Times New Roman" w:hAnsi="inherit" w:cs="Times New Roman"/>
                <w:color w:val="000000"/>
                <w:lang w:eastAsia="et-EE"/>
              </w:rPr>
            </w:pPr>
          </w:p>
        </w:tc>
        <w:tc>
          <w:tcPr>
            <w:tcW w:w="1275" w:type="dxa"/>
            <w:tcBorders>
              <w:top w:val="single" w:sz="6" w:space="0" w:color="000000"/>
              <w:left w:val="single" w:sz="6" w:space="0" w:color="000000"/>
              <w:bottom w:val="single" w:sz="6" w:space="0" w:color="000000"/>
              <w:right w:val="single" w:sz="6" w:space="0" w:color="000000"/>
            </w:tcBorders>
            <w:shd w:val="clear" w:color="auto" w:fill="FFFFFF"/>
            <w:hideMark/>
          </w:tcPr>
          <w:p w14:paraId="30AFA15F" w14:textId="77777777" w:rsidR="00B731C3" w:rsidRPr="00CB6837" w:rsidRDefault="00B731C3" w:rsidP="00A13E67">
            <w:pPr>
              <w:spacing w:after="0" w:line="240" w:lineRule="auto"/>
              <w:rPr>
                <w:rFonts w:ascii="inherit" w:eastAsia="Times New Roman" w:hAnsi="inherit" w:cs="Times New Roman"/>
                <w:color w:val="000000"/>
                <w:lang w:eastAsia="et-EE"/>
              </w:rPr>
            </w:pPr>
            <w:r w:rsidRPr="00CB6837">
              <w:rPr>
                <w:rFonts w:ascii="inherit" w:eastAsia="Times New Roman" w:hAnsi="inherit" w:cs="Times New Roman"/>
                <w:color w:val="000000"/>
                <w:lang w:eastAsia="et-EE"/>
              </w:rPr>
              <w:t>Kõik muud hooned &gt; 250 m</w:t>
            </w:r>
            <w:r w:rsidRPr="00CB6837">
              <w:rPr>
                <w:rFonts w:ascii="inherit" w:eastAsia="Times New Roman" w:hAnsi="inherit" w:cs="Times New Roman"/>
                <w:color w:val="000000"/>
                <w:sz w:val="15"/>
                <w:szCs w:val="15"/>
                <w:vertAlign w:val="superscript"/>
                <w:lang w:eastAsia="et-EE"/>
              </w:rPr>
              <w:t>2</w:t>
            </w:r>
            <w:r w:rsidRPr="00CB6837">
              <w:rPr>
                <w:rFonts w:ascii="inherit" w:eastAsia="Times New Roman" w:hAnsi="inherit" w:cs="Times New Roman"/>
                <w:color w:val="000000"/>
                <w:lang w:eastAsia="et-EE"/>
              </w:rPr>
              <w:t>, mille suhtes kohaldatakse renoveerimiskohustust</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5CCE80EB" w14:textId="77777777" w:rsidR="00B731C3" w:rsidRPr="00CB6837" w:rsidRDefault="00B731C3" w:rsidP="00A13E67">
            <w:pPr>
              <w:spacing w:after="0" w:line="240" w:lineRule="auto"/>
              <w:jc w:val="center"/>
              <w:rPr>
                <w:rFonts w:ascii="inherit" w:eastAsia="Times New Roman" w:hAnsi="inherit" w:cs="Times New Roman"/>
                <w:color w:val="000000"/>
                <w:lang w:eastAsia="et-EE"/>
              </w:rPr>
            </w:pPr>
            <w:r w:rsidRPr="00CB6837">
              <w:rPr>
                <w:rFonts w:ascii="inherit" w:eastAsia="Times New Roman" w:hAnsi="inherit" w:cs="Times New Roman"/>
                <w:color w:val="000000"/>
                <w:lang w:eastAsia="et-EE"/>
              </w:rPr>
              <w:t>JAH</w:t>
            </w:r>
          </w:p>
        </w:tc>
        <w:tc>
          <w:tcPr>
            <w:tcW w:w="1559" w:type="dxa"/>
            <w:tcBorders>
              <w:top w:val="single" w:sz="6" w:space="0" w:color="000000"/>
              <w:left w:val="single" w:sz="6" w:space="0" w:color="000000"/>
              <w:bottom w:val="single" w:sz="6" w:space="0" w:color="000000"/>
              <w:right w:val="single" w:sz="6" w:space="0" w:color="000000"/>
            </w:tcBorders>
            <w:shd w:val="clear" w:color="auto" w:fill="FFFFFF"/>
            <w:hideMark/>
          </w:tcPr>
          <w:p w14:paraId="7934952E" w14:textId="77777777" w:rsidR="00B731C3" w:rsidRPr="00CB6837" w:rsidRDefault="00B731C3" w:rsidP="00A13E67">
            <w:pPr>
              <w:spacing w:after="0" w:line="240" w:lineRule="auto"/>
              <w:jc w:val="center"/>
              <w:rPr>
                <w:rFonts w:ascii="inherit" w:eastAsia="Times New Roman" w:hAnsi="inherit" w:cs="Times New Roman"/>
                <w:color w:val="000000"/>
                <w:lang w:eastAsia="et-EE"/>
              </w:rPr>
            </w:pPr>
            <w:r w:rsidRPr="00CB6837">
              <w:rPr>
                <w:rFonts w:ascii="inherit" w:eastAsia="Times New Roman" w:hAnsi="inherit" w:cs="Times New Roman"/>
                <w:color w:val="000000"/>
                <w:lang w:eastAsia="et-EE"/>
              </w:rPr>
              <w:t>JAH</w:t>
            </w:r>
          </w:p>
        </w:tc>
        <w:tc>
          <w:tcPr>
            <w:tcW w:w="1843" w:type="dxa"/>
            <w:tcBorders>
              <w:top w:val="single" w:sz="6" w:space="0" w:color="000000"/>
              <w:left w:val="single" w:sz="6" w:space="0" w:color="000000"/>
              <w:bottom w:val="single" w:sz="6" w:space="0" w:color="000000"/>
              <w:right w:val="single" w:sz="6" w:space="0" w:color="000000"/>
            </w:tcBorders>
            <w:shd w:val="clear" w:color="auto" w:fill="FFFFFF"/>
            <w:hideMark/>
          </w:tcPr>
          <w:p w14:paraId="714BEF6F" w14:textId="77777777" w:rsidR="00B731C3" w:rsidRPr="00CB6837" w:rsidRDefault="00B731C3" w:rsidP="00A13E67">
            <w:pPr>
              <w:spacing w:after="0" w:line="240" w:lineRule="auto"/>
              <w:jc w:val="center"/>
              <w:rPr>
                <w:rFonts w:ascii="inherit" w:eastAsia="Times New Roman" w:hAnsi="inherit" w:cs="Times New Roman"/>
                <w:color w:val="000000"/>
                <w:lang w:eastAsia="et-EE"/>
              </w:rPr>
            </w:pPr>
            <w:r w:rsidRPr="00CB6837">
              <w:rPr>
                <w:rFonts w:ascii="inherit" w:eastAsia="Times New Roman" w:hAnsi="inherit" w:cs="Times New Roman"/>
                <w:color w:val="000000"/>
                <w:lang w:eastAsia="et-EE"/>
              </w:rPr>
              <w:t>JAH</w:t>
            </w:r>
          </w:p>
        </w:tc>
        <w:tc>
          <w:tcPr>
            <w:tcW w:w="2138" w:type="dxa"/>
            <w:tcBorders>
              <w:top w:val="single" w:sz="6" w:space="0" w:color="000000"/>
              <w:left w:val="single" w:sz="6" w:space="0" w:color="000000"/>
              <w:bottom w:val="single" w:sz="6" w:space="0" w:color="000000"/>
              <w:right w:val="single" w:sz="6" w:space="0" w:color="000000"/>
            </w:tcBorders>
            <w:shd w:val="clear" w:color="auto" w:fill="FFFFFF"/>
            <w:hideMark/>
          </w:tcPr>
          <w:p w14:paraId="092D5A8E" w14:textId="77777777" w:rsidR="00B731C3" w:rsidRPr="00CB6837" w:rsidRDefault="00B731C3" w:rsidP="00A13E67">
            <w:pPr>
              <w:spacing w:after="0" w:line="240" w:lineRule="auto"/>
              <w:jc w:val="center"/>
              <w:rPr>
                <w:rFonts w:ascii="inherit" w:eastAsia="Times New Roman" w:hAnsi="inherit" w:cs="Times New Roman"/>
                <w:color w:val="000000"/>
                <w:lang w:eastAsia="et-EE"/>
              </w:rPr>
            </w:pPr>
            <w:r w:rsidRPr="00CB6837">
              <w:rPr>
                <w:rFonts w:ascii="inherit" w:eastAsia="Times New Roman" w:hAnsi="inherit" w:cs="Times New Roman"/>
                <w:color w:val="000000"/>
                <w:lang w:eastAsia="et-EE"/>
              </w:rPr>
              <w:t>JAH</w:t>
            </w:r>
          </w:p>
        </w:tc>
      </w:tr>
      <w:tr w:rsidR="00B731C3" w:rsidRPr="00CB6837" w14:paraId="71790E51" w14:textId="77777777" w:rsidTr="00A13E67">
        <w:tc>
          <w:tcPr>
            <w:tcW w:w="226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5A01761A" w14:textId="77777777" w:rsidR="00B731C3" w:rsidRPr="00CB6837" w:rsidRDefault="00B731C3" w:rsidP="00A13E67">
            <w:pPr>
              <w:spacing w:after="0" w:line="240" w:lineRule="auto"/>
              <w:rPr>
                <w:rFonts w:ascii="inherit" w:eastAsia="Times New Roman" w:hAnsi="inherit" w:cs="Times New Roman"/>
                <w:color w:val="000000"/>
                <w:lang w:eastAsia="et-EE"/>
              </w:rPr>
            </w:pPr>
            <w:r w:rsidRPr="00CB6837">
              <w:rPr>
                <w:rFonts w:ascii="inherit" w:eastAsia="Times New Roman" w:hAnsi="inherit" w:cs="Times New Roman"/>
                <w:color w:val="000000"/>
                <w:lang w:eastAsia="et-EE"/>
              </w:rPr>
              <w:t>Muud hooned ≤ 250 m</w:t>
            </w:r>
            <w:r w:rsidRPr="00CB6837">
              <w:rPr>
                <w:rFonts w:ascii="inherit" w:eastAsia="Times New Roman" w:hAnsi="inherit" w:cs="Times New Roman"/>
                <w:color w:val="000000"/>
                <w:sz w:val="15"/>
                <w:szCs w:val="15"/>
                <w:vertAlign w:val="superscript"/>
                <w:lang w:eastAsia="et-EE"/>
              </w:rPr>
              <w:t>2</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051CA023" w14:textId="77777777" w:rsidR="00B731C3" w:rsidRPr="00CB6837" w:rsidRDefault="00B731C3" w:rsidP="00A13E67">
            <w:pPr>
              <w:spacing w:after="0" w:line="240" w:lineRule="auto"/>
              <w:jc w:val="center"/>
              <w:rPr>
                <w:rFonts w:ascii="inherit" w:eastAsia="Times New Roman" w:hAnsi="inherit" w:cs="Times New Roman"/>
                <w:color w:val="000000"/>
                <w:lang w:eastAsia="et-EE"/>
              </w:rPr>
            </w:pPr>
            <w:r w:rsidRPr="00CB6837">
              <w:rPr>
                <w:rFonts w:ascii="inherit" w:eastAsia="Times New Roman" w:hAnsi="inherit" w:cs="Times New Roman"/>
                <w:color w:val="000000"/>
                <w:lang w:eastAsia="et-EE"/>
              </w:rPr>
              <w:t>EI</w:t>
            </w:r>
            <w:r>
              <w:rPr>
                <w:rStyle w:val="Allmrkuseviide"/>
                <w:rFonts w:ascii="inherit" w:eastAsia="Times New Roman" w:hAnsi="inherit" w:cs="Times New Roman"/>
                <w:color w:val="000000"/>
                <w:lang w:eastAsia="et-EE"/>
              </w:rPr>
              <w:footnoteReference w:id="42"/>
            </w:r>
          </w:p>
        </w:tc>
        <w:tc>
          <w:tcPr>
            <w:tcW w:w="1559" w:type="dxa"/>
            <w:tcBorders>
              <w:top w:val="single" w:sz="6" w:space="0" w:color="000000"/>
              <w:left w:val="single" w:sz="6" w:space="0" w:color="000000"/>
              <w:bottom w:val="single" w:sz="6" w:space="0" w:color="000000"/>
              <w:right w:val="single" w:sz="6" w:space="0" w:color="000000"/>
            </w:tcBorders>
            <w:shd w:val="clear" w:color="auto" w:fill="FFFFFF"/>
            <w:hideMark/>
          </w:tcPr>
          <w:p w14:paraId="36380647" w14:textId="77777777" w:rsidR="00B731C3" w:rsidRPr="00CB6837" w:rsidRDefault="00B731C3" w:rsidP="00A13E67">
            <w:pPr>
              <w:spacing w:after="0" w:line="240" w:lineRule="auto"/>
              <w:jc w:val="center"/>
              <w:rPr>
                <w:rFonts w:ascii="inherit" w:eastAsia="Times New Roman" w:hAnsi="inherit" w:cs="Times New Roman"/>
                <w:color w:val="000000"/>
                <w:lang w:eastAsia="et-EE"/>
              </w:rPr>
            </w:pPr>
            <w:r w:rsidRPr="00CB6837">
              <w:rPr>
                <w:rFonts w:ascii="inherit" w:eastAsia="Times New Roman" w:hAnsi="inherit" w:cs="Times New Roman"/>
                <w:color w:val="000000"/>
                <w:lang w:eastAsia="et-EE"/>
              </w:rPr>
              <w:t>EI</w:t>
            </w:r>
          </w:p>
        </w:tc>
        <w:tc>
          <w:tcPr>
            <w:tcW w:w="1843" w:type="dxa"/>
            <w:tcBorders>
              <w:top w:val="single" w:sz="6" w:space="0" w:color="000000"/>
              <w:left w:val="single" w:sz="6" w:space="0" w:color="000000"/>
              <w:bottom w:val="single" w:sz="6" w:space="0" w:color="000000"/>
              <w:right w:val="single" w:sz="6" w:space="0" w:color="000000"/>
            </w:tcBorders>
            <w:shd w:val="clear" w:color="auto" w:fill="FFFFFF"/>
            <w:hideMark/>
          </w:tcPr>
          <w:p w14:paraId="1E55A80A" w14:textId="77777777" w:rsidR="00B731C3" w:rsidRPr="00CB6837" w:rsidRDefault="00B731C3" w:rsidP="00A13E67">
            <w:pPr>
              <w:spacing w:after="0" w:line="240" w:lineRule="auto"/>
              <w:jc w:val="center"/>
              <w:rPr>
                <w:rFonts w:ascii="inherit" w:eastAsia="Times New Roman" w:hAnsi="inherit" w:cs="Times New Roman"/>
                <w:color w:val="000000"/>
                <w:lang w:eastAsia="et-EE"/>
              </w:rPr>
            </w:pPr>
            <w:r w:rsidRPr="00CB6837">
              <w:rPr>
                <w:rFonts w:ascii="inherit" w:eastAsia="Times New Roman" w:hAnsi="inherit" w:cs="Times New Roman"/>
                <w:color w:val="000000"/>
                <w:lang w:eastAsia="et-EE"/>
              </w:rPr>
              <w:t>EI</w:t>
            </w:r>
          </w:p>
        </w:tc>
        <w:tc>
          <w:tcPr>
            <w:tcW w:w="2138" w:type="dxa"/>
            <w:tcBorders>
              <w:top w:val="single" w:sz="6" w:space="0" w:color="000000"/>
              <w:left w:val="single" w:sz="6" w:space="0" w:color="000000"/>
              <w:bottom w:val="single" w:sz="6" w:space="0" w:color="000000"/>
              <w:right w:val="single" w:sz="6" w:space="0" w:color="000000"/>
            </w:tcBorders>
            <w:shd w:val="clear" w:color="auto" w:fill="FFFFFF"/>
            <w:hideMark/>
          </w:tcPr>
          <w:p w14:paraId="571C3DBB" w14:textId="77777777" w:rsidR="00B731C3" w:rsidRPr="00CB6837" w:rsidRDefault="00B731C3" w:rsidP="00A13E67">
            <w:pPr>
              <w:spacing w:after="0" w:line="240" w:lineRule="auto"/>
              <w:jc w:val="center"/>
              <w:rPr>
                <w:rFonts w:ascii="inherit" w:eastAsia="Times New Roman" w:hAnsi="inherit" w:cs="Times New Roman"/>
                <w:color w:val="000000"/>
                <w:lang w:eastAsia="et-EE"/>
              </w:rPr>
            </w:pPr>
            <w:r w:rsidRPr="00CB6837">
              <w:rPr>
                <w:rFonts w:ascii="inherit" w:eastAsia="Times New Roman" w:hAnsi="inherit" w:cs="Times New Roman"/>
                <w:color w:val="000000"/>
                <w:lang w:eastAsia="et-EE"/>
              </w:rPr>
              <w:t>EI</w:t>
            </w:r>
          </w:p>
        </w:tc>
      </w:tr>
    </w:tbl>
    <w:p w14:paraId="4C271C08" w14:textId="77777777" w:rsidR="00B731C3" w:rsidRDefault="00B731C3" w:rsidP="00B731C3">
      <w:pPr>
        <w:pStyle w:val="muudetavtekst"/>
        <w:rPr>
          <w:rFonts w:asciiTheme="minorHAnsi" w:hAnsiTheme="minorHAnsi" w:cstheme="minorHAnsi"/>
        </w:rPr>
      </w:pPr>
    </w:p>
    <w:p w14:paraId="136B3A3F" w14:textId="77777777" w:rsidR="00B731C3" w:rsidRPr="0083793A" w:rsidRDefault="00B731C3" w:rsidP="00B731C3">
      <w:pPr>
        <w:pStyle w:val="muudetavtekst"/>
        <w:rPr>
          <w:rFonts w:asciiTheme="minorHAnsi" w:hAnsiTheme="minorHAnsi" w:cstheme="minorBidi"/>
          <w:u w:val="single"/>
        </w:rPr>
      </w:pPr>
      <w:r w:rsidRPr="57490200">
        <w:rPr>
          <w:rFonts w:asciiTheme="minorHAnsi" w:hAnsiTheme="minorHAnsi" w:cstheme="minorBidi"/>
          <w:u w:val="single"/>
        </w:rPr>
        <w:t>Rekonstrueerimiskohustusega hoonete b</w:t>
      </w:r>
      <w:r w:rsidRPr="0083793A">
        <w:rPr>
          <w:rFonts w:asciiTheme="minorHAnsi" w:hAnsiTheme="minorHAnsi" w:cstheme="minorBidi"/>
          <w:u w:val="single"/>
        </w:rPr>
        <w:t>aastaseme määramine</w:t>
      </w:r>
    </w:p>
    <w:p w14:paraId="13A6467A" w14:textId="77777777" w:rsidR="00B731C3" w:rsidRDefault="00B731C3" w:rsidP="00B731C3">
      <w:pPr>
        <w:pStyle w:val="muudetavtekst"/>
        <w:rPr>
          <w:rFonts w:asciiTheme="minorHAnsi" w:hAnsiTheme="minorHAnsi" w:cstheme="minorHAnsi"/>
        </w:rPr>
      </w:pPr>
    </w:p>
    <w:p w14:paraId="6CEA63A6" w14:textId="77777777" w:rsidR="00B731C3" w:rsidRDefault="00B731C3" w:rsidP="00B731C3">
      <w:pPr>
        <w:pStyle w:val="muudetavtekst"/>
        <w:rPr>
          <w:rFonts w:asciiTheme="minorHAnsi" w:hAnsiTheme="minorHAnsi" w:cstheme="minorHAnsi"/>
        </w:rPr>
      </w:pPr>
      <w:r>
        <w:rPr>
          <w:rFonts w:asciiTheme="minorHAnsi" w:hAnsiTheme="minorHAnsi" w:cstheme="minorHAnsi"/>
        </w:rPr>
        <w:t>Eelnõu koostamisel kasutati järgmiseid andmeid:</w:t>
      </w:r>
    </w:p>
    <w:p w14:paraId="76FDD362" w14:textId="77777777" w:rsidR="00B731C3" w:rsidRDefault="00B731C3" w:rsidP="00B731C3">
      <w:pPr>
        <w:pStyle w:val="muudetavtekst"/>
        <w:numPr>
          <w:ilvl w:val="0"/>
          <w:numId w:val="36"/>
        </w:numPr>
        <w:rPr>
          <w:rFonts w:asciiTheme="minorHAnsi" w:hAnsiTheme="minorHAnsi" w:cstheme="minorHAnsi"/>
        </w:rPr>
      </w:pPr>
      <w:r>
        <w:rPr>
          <w:rFonts w:asciiTheme="minorHAnsi" w:hAnsiTheme="minorHAnsi" w:cstheme="minorHAnsi"/>
        </w:rPr>
        <w:t>riigi kinnisvara registri andmed (keskvalitsus);</w:t>
      </w:r>
    </w:p>
    <w:p w14:paraId="02A34F04" w14:textId="77777777" w:rsidR="00B731C3" w:rsidRDefault="00B731C3" w:rsidP="00B731C3">
      <w:pPr>
        <w:pStyle w:val="muudetavtekst"/>
        <w:numPr>
          <w:ilvl w:val="0"/>
          <w:numId w:val="36"/>
        </w:numPr>
        <w:rPr>
          <w:rFonts w:asciiTheme="minorHAnsi" w:hAnsiTheme="minorHAnsi" w:cstheme="minorBidi"/>
        </w:rPr>
      </w:pPr>
      <w:r w:rsidRPr="2475EBDD">
        <w:rPr>
          <w:rFonts w:asciiTheme="minorHAnsi" w:hAnsiTheme="minorHAnsi" w:cstheme="minorBidi"/>
        </w:rPr>
        <w:t>Minu omavalitsus lehel olevad kohalike omavalituste kinnisvara vaade</w:t>
      </w:r>
      <w:r>
        <w:rPr>
          <w:rFonts w:asciiTheme="minorHAnsi" w:hAnsiTheme="minorHAnsi" w:cstheme="minorBidi"/>
        </w:rPr>
        <w:t>;</w:t>
      </w:r>
    </w:p>
    <w:p w14:paraId="4E1AFC08" w14:textId="77777777" w:rsidR="00B731C3" w:rsidRDefault="00B731C3" w:rsidP="00B731C3">
      <w:pPr>
        <w:pStyle w:val="muudetavtekst"/>
        <w:numPr>
          <w:ilvl w:val="0"/>
          <w:numId w:val="36"/>
        </w:numPr>
        <w:rPr>
          <w:rFonts w:asciiTheme="minorHAnsi" w:hAnsiTheme="minorHAnsi" w:cstheme="minorBidi"/>
        </w:rPr>
      </w:pPr>
      <w:r w:rsidRPr="22C093BA">
        <w:rPr>
          <w:rFonts w:asciiTheme="minorHAnsi" w:hAnsiTheme="minorHAnsi" w:cstheme="minorBidi"/>
        </w:rPr>
        <w:t>Haridus- ja Teadusministeeriumi esitatud andmed üli- ja kutsekoolide hoonete kohta</w:t>
      </w:r>
      <w:r>
        <w:rPr>
          <w:rFonts w:asciiTheme="minorHAnsi" w:hAnsiTheme="minorHAnsi" w:cstheme="minorBidi"/>
        </w:rPr>
        <w:t>;</w:t>
      </w:r>
    </w:p>
    <w:p w14:paraId="7C43A5DB" w14:textId="77777777" w:rsidR="00B731C3" w:rsidRDefault="00B731C3" w:rsidP="00B731C3">
      <w:pPr>
        <w:pStyle w:val="muudetavtekst"/>
        <w:numPr>
          <w:ilvl w:val="0"/>
          <w:numId w:val="36"/>
        </w:numPr>
        <w:rPr>
          <w:rFonts w:asciiTheme="minorHAnsi" w:hAnsiTheme="minorHAnsi" w:cstheme="minorHAnsi"/>
        </w:rPr>
      </w:pPr>
      <w:r>
        <w:rPr>
          <w:rFonts w:asciiTheme="minorHAnsi" w:hAnsiTheme="minorHAnsi" w:cstheme="minorHAnsi"/>
        </w:rPr>
        <w:t>Sotsiaalministeeriumi esitatud andmed haiglate kohta.</w:t>
      </w:r>
    </w:p>
    <w:p w14:paraId="4A3EC96E" w14:textId="77777777" w:rsidR="00B731C3" w:rsidRDefault="00B731C3" w:rsidP="00B731C3">
      <w:pPr>
        <w:pStyle w:val="muudetavtekst"/>
        <w:rPr>
          <w:rFonts w:asciiTheme="minorHAnsi" w:hAnsiTheme="minorHAnsi" w:cstheme="minorHAnsi"/>
        </w:rPr>
      </w:pPr>
    </w:p>
    <w:p w14:paraId="65C25900" w14:textId="77777777" w:rsidR="00B731C3" w:rsidRDefault="00B731C3" w:rsidP="00B731C3">
      <w:pPr>
        <w:pStyle w:val="muudetavtekst"/>
        <w:rPr>
          <w:rFonts w:asciiTheme="minorHAnsi" w:hAnsiTheme="minorHAnsi" w:cstheme="minorBidi"/>
        </w:rPr>
      </w:pPr>
      <w:r w:rsidRPr="5A974A20">
        <w:rPr>
          <w:rFonts w:asciiTheme="minorHAnsi" w:hAnsiTheme="minorHAnsi" w:cstheme="minorBidi"/>
        </w:rPr>
        <w:t xml:space="preserve">Andmete filtreerimisel </w:t>
      </w:r>
      <w:r>
        <w:rPr>
          <w:rFonts w:asciiTheme="minorHAnsi" w:hAnsiTheme="minorHAnsi" w:cstheme="minorBidi"/>
        </w:rPr>
        <w:t>jäeti</w:t>
      </w:r>
      <w:r w:rsidRPr="5A974A20">
        <w:rPr>
          <w:rFonts w:asciiTheme="minorHAnsi" w:hAnsiTheme="minorHAnsi" w:cstheme="minorBidi"/>
        </w:rPr>
        <w:t xml:space="preserve"> nimistust </w:t>
      </w:r>
      <w:r>
        <w:rPr>
          <w:rFonts w:asciiTheme="minorHAnsi" w:hAnsiTheme="minorHAnsi" w:cstheme="minorBidi"/>
        </w:rPr>
        <w:t xml:space="preserve">välja </w:t>
      </w:r>
      <w:r w:rsidRPr="5A974A20">
        <w:rPr>
          <w:rFonts w:asciiTheme="minorHAnsi" w:hAnsiTheme="minorHAnsi" w:cstheme="minorBidi"/>
        </w:rPr>
        <w:t xml:space="preserve">kõigepealt need hooned, kus </w:t>
      </w:r>
      <w:r>
        <w:rPr>
          <w:rFonts w:asciiTheme="minorHAnsi" w:hAnsiTheme="minorHAnsi" w:cstheme="minorBidi"/>
        </w:rPr>
        <w:t xml:space="preserve">kasulik </w:t>
      </w:r>
      <w:r w:rsidRPr="5A974A20">
        <w:rPr>
          <w:rFonts w:asciiTheme="minorHAnsi" w:hAnsiTheme="minorHAnsi" w:cstheme="minorBidi"/>
        </w:rPr>
        <w:t>üldpõrandapind oli alla 250 m</w:t>
      </w:r>
      <w:r w:rsidRPr="5A974A20">
        <w:rPr>
          <w:rFonts w:asciiTheme="minorHAnsi" w:hAnsiTheme="minorHAnsi" w:cstheme="minorBidi"/>
          <w:vertAlign w:val="superscript"/>
        </w:rPr>
        <w:t>2</w:t>
      </w:r>
      <w:r w:rsidRPr="5A974A20">
        <w:rPr>
          <w:rFonts w:asciiTheme="minorHAnsi" w:hAnsiTheme="minorHAnsi" w:cstheme="minorBidi"/>
        </w:rPr>
        <w:t>, seejärel hooned</w:t>
      </w:r>
      <w:r w:rsidRPr="4882D174">
        <w:rPr>
          <w:rFonts w:asciiTheme="minorHAnsi" w:hAnsiTheme="minorHAnsi" w:cstheme="minorBidi"/>
        </w:rPr>
        <w:t>,</w:t>
      </w:r>
      <w:r w:rsidRPr="5A974A20">
        <w:rPr>
          <w:rFonts w:asciiTheme="minorHAnsi" w:hAnsiTheme="minorHAnsi" w:cstheme="minorBidi"/>
        </w:rPr>
        <w:t xml:space="preserve"> kus ei olnud </w:t>
      </w:r>
      <w:r>
        <w:rPr>
          <w:rFonts w:asciiTheme="minorHAnsi" w:hAnsiTheme="minorHAnsi" w:cstheme="minorBidi"/>
        </w:rPr>
        <w:t xml:space="preserve">reguleeritav </w:t>
      </w:r>
      <w:r w:rsidRPr="5A974A20">
        <w:rPr>
          <w:rFonts w:asciiTheme="minorHAnsi" w:hAnsiTheme="minorHAnsi" w:cstheme="minorBidi"/>
        </w:rPr>
        <w:t>sisekliima taga</w:t>
      </w:r>
      <w:r>
        <w:rPr>
          <w:rFonts w:asciiTheme="minorHAnsi" w:hAnsiTheme="minorHAnsi" w:cstheme="minorBidi"/>
        </w:rPr>
        <w:t>tud</w:t>
      </w:r>
      <w:r w:rsidRPr="5A974A20">
        <w:rPr>
          <w:rFonts w:asciiTheme="minorHAnsi" w:hAnsiTheme="minorHAnsi" w:cstheme="minorBidi"/>
        </w:rPr>
        <w:t xml:space="preserve">, </w:t>
      </w:r>
      <w:r w:rsidRPr="3C299B37">
        <w:rPr>
          <w:rFonts w:asciiTheme="minorHAnsi" w:hAnsiTheme="minorHAnsi" w:cstheme="minorBidi"/>
        </w:rPr>
        <w:t>siis</w:t>
      </w:r>
      <w:r w:rsidRPr="5A974A20">
        <w:rPr>
          <w:rFonts w:asciiTheme="minorHAnsi" w:hAnsiTheme="minorHAnsi" w:cstheme="minorBidi"/>
        </w:rPr>
        <w:t xml:space="preserve"> hooned</w:t>
      </w:r>
      <w:r w:rsidRPr="3C299B37">
        <w:rPr>
          <w:rFonts w:asciiTheme="minorHAnsi" w:hAnsiTheme="minorHAnsi" w:cstheme="minorBidi"/>
        </w:rPr>
        <w:t>,</w:t>
      </w:r>
      <w:r w:rsidRPr="5A974A20">
        <w:rPr>
          <w:rFonts w:asciiTheme="minorHAnsi" w:hAnsiTheme="minorHAnsi" w:cstheme="minorBidi"/>
        </w:rPr>
        <w:t xml:space="preserve"> mis ei olnud 100% ulatuses avaliku sektori asutuse omandis (paljud korterelamud, kus on mõni sotsiaalelupind või ametikorter</w:t>
      </w:r>
      <w:r w:rsidRPr="3F1A2F59">
        <w:rPr>
          <w:rFonts w:asciiTheme="minorHAnsi" w:hAnsiTheme="minorHAnsi" w:cstheme="minorBidi"/>
        </w:rPr>
        <w:t>)</w:t>
      </w:r>
      <w:r>
        <w:rPr>
          <w:rFonts w:asciiTheme="minorHAnsi" w:hAnsiTheme="minorHAnsi" w:cstheme="minorBidi"/>
        </w:rPr>
        <w:t>,</w:t>
      </w:r>
      <w:r w:rsidRPr="3F1A2F59">
        <w:rPr>
          <w:rFonts w:asciiTheme="minorHAnsi" w:hAnsiTheme="minorHAnsi" w:cstheme="minorBidi"/>
        </w:rPr>
        <w:t xml:space="preserve"> ja</w:t>
      </w:r>
      <w:r w:rsidRPr="5A974A20">
        <w:rPr>
          <w:rFonts w:asciiTheme="minorHAnsi" w:hAnsiTheme="minorHAnsi" w:cstheme="minorBidi"/>
        </w:rPr>
        <w:t xml:space="preserve"> viimase kriteeriumina hooned, mi</w:t>
      </w:r>
      <w:r>
        <w:rPr>
          <w:rFonts w:asciiTheme="minorHAnsi" w:hAnsiTheme="minorHAnsi" w:cstheme="minorBidi"/>
        </w:rPr>
        <w:t>lle</w:t>
      </w:r>
      <w:r w:rsidRPr="5A974A20">
        <w:rPr>
          <w:rFonts w:asciiTheme="minorHAnsi" w:hAnsiTheme="minorHAnsi" w:cstheme="minorBidi"/>
        </w:rPr>
        <w:t xml:space="preserve"> kehtiv energiamärgis</w:t>
      </w:r>
      <w:r>
        <w:rPr>
          <w:rFonts w:asciiTheme="minorHAnsi" w:hAnsiTheme="minorHAnsi" w:cstheme="minorBidi"/>
        </w:rPr>
        <w:t xml:space="preserve"> oli</w:t>
      </w:r>
      <w:r w:rsidRPr="5A974A20">
        <w:rPr>
          <w:rFonts w:asciiTheme="minorHAnsi" w:hAnsiTheme="minorHAnsi" w:cstheme="minorBidi"/>
        </w:rPr>
        <w:t xml:space="preserve"> </w:t>
      </w:r>
      <w:r w:rsidRPr="4FD83020">
        <w:rPr>
          <w:rFonts w:asciiTheme="minorHAnsi" w:hAnsiTheme="minorHAnsi" w:cstheme="minorBidi"/>
        </w:rPr>
        <w:t>energiaklassiga</w:t>
      </w:r>
      <w:r>
        <w:rPr>
          <w:rFonts w:asciiTheme="minorHAnsi" w:hAnsiTheme="minorHAnsi" w:cstheme="minorBidi"/>
        </w:rPr>
        <w:t xml:space="preserve"> </w:t>
      </w:r>
      <w:r w:rsidRPr="5DAEC16B">
        <w:rPr>
          <w:rFonts w:asciiTheme="minorHAnsi" w:hAnsiTheme="minorHAnsi" w:cstheme="minorBidi"/>
        </w:rPr>
        <w:t>vähemalt</w:t>
      </w:r>
      <w:r w:rsidRPr="5A974A20">
        <w:rPr>
          <w:rFonts w:asciiTheme="minorHAnsi" w:hAnsiTheme="minorHAnsi" w:cstheme="minorBidi"/>
        </w:rPr>
        <w:t xml:space="preserve"> C või parem.</w:t>
      </w:r>
    </w:p>
    <w:p w14:paraId="6BDD3F3F" w14:textId="77777777" w:rsidR="00B731C3" w:rsidRDefault="00B731C3" w:rsidP="00B731C3">
      <w:pPr>
        <w:pStyle w:val="muudetavtekst"/>
        <w:rPr>
          <w:rFonts w:asciiTheme="minorHAnsi" w:hAnsiTheme="minorHAnsi" w:cstheme="minorHAnsi"/>
        </w:rPr>
      </w:pPr>
    </w:p>
    <w:p w14:paraId="21D04375" w14:textId="77777777" w:rsidR="00B731C3" w:rsidRDefault="00B731C3" w:rsidP="00B731C3">
      <w:pPr>
        <w:pStyle w:val="muudetavtekst"/>
        <w:rPr>
          <w:rFonts w:asciiTheme="minorHAnsi" w:hAnsiTheme="minorHAnsi" w:cstheme="minorHAnsi"/>
        </w:rPr>
      </w:pPr>
      <w:r>
        <w:rPr>
          <w:rFonts w:asciiTheme="minorHAnsi" w:hAnsiTheme="minorHAnsi" w:cstheme="minorHAnsi"/>
        </w:rPr>
        <w:t>Kogupilt kujunes välja järgmiselt.</w:t>
      </w:r>
    </w:p>
    <w:p w14:paraId="4DB8A4D0" w14:textId="77777777" w:rsidR="00B731C3" w:rsidRDefault="00B731C3" w:rsidP="00B731C3">
      <w:pPr>
        <w:pStyle w:val="muudetavtekst"/>
        <w:rPr>
          <w:rFonts w:asciiTheme="minorHAnsi" w:hAnsiTheme="minorHAnsi" w:cstheme="minorHAnsi"/>
        </w:rPr>
      </w:pPr>
      <w:r>
        <w:rPr>
          <w:noProof/>
        </w:rPr>
        <w:lastRenderedPageBreak/>
        <w:drawing>
          <wp:inline distT="0" distB="0" distL="0" distR="0" wp14:anchorId="0D5AD9E6" wp14:editId="71660FD6">
            <wp:extent cx="5760720" cy="4177030"/>
            <wp:effectExtent l="0" t="19050" r="0" b="71120"/>
            <wp:docPr id="2127585927" name="Skemaatiline diagramm 1">
              <a:extLst xmlns:a="http://schemas.openxmlformats.org/drawingml/2006/main">
                <a:ext uri="{FF2B5EF4-FFF2-40B4-BE49-F238E27FC236}">
                  <a16:creationId xmlns:a16="http://schemas.microsoft.com/office/drawing/2014/main" id="{102A77CA-7D52-F494-C55C-630C7EA1DCB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3F979A14" w14:textId="77777777" w:rsidR="00B731C3" w:rsidRDefault="00B731C3" w:rsidP="00B731C3">
      <w:pPr>
        <w:pStyle w:val="muudetavtekst"/>
        <w:rPr>
          <w:rFonts w:asciiTheme="minorHAnsi" w:hAnsiTheme="minorHAnsi" w:cstheme="minorBidi"/>
        </w:rPr>
      </w:pPr>
      <w:r>
        <w:rPr>
          <w:rFonts w:asciiTheme="minorHAnsi" w:hAnsiTheme="minorHAnsi" w:cstheme="minorBidi"/>
        </w:rPr>
        <w:t>Joonis 3. Avaliku sektori asutuste hoonete kogupinna kujunemine.</w:t>
      </w:r>
    </w:p>
    <w:p w14:paraId="35FEB4ED" w14:textId="77777777" w:rsidR="00B731C3" w:rsidRPr="002E2362" w:rsidRDefault="00B731C3" w:rsidP="00B731C3">
      <w:pPr>
        <w:pStyle w:val="muudetavtekst"/>
        <w:rPr>
          <w:rFonts w:asciiTheme="minorHAnsi" w:hAnsiTheme="minorHAnsi" w:cstheme="minorBidi"/>
        </w:rPr>
      </w:pPr>
    </w:p>
    <w:p w14:paraId="076FC2C4" w14:textId="77777777" w:rsidR="00B731C3" w:rsidRDefault="00B731C3" w:rsidP="00B731C3">
      <w:pPr>
        <w:pStyle w:val="muudetavtekst"/>
        <w:rPr>
          <w:rFonts w:asciiTheme="minorHAnsi" w:hAnsiTheme="minorHAnsi" w:cstheme="minorBidi"/>
        </w:rPr>
      </w:pPr>
      <w:r w:rsidRPr="5621D634">
        <w:rPr>
          <w:rFonts w:asciiTheme="minorHAnsi" w:hAnsiTheme="minorHAnsi" w:cstheme="minorBidi"/>
        </w:rPr>
        <w:t>Rekonstrueerimise baastaseme aluseks on ~</w:t>
      </w:r>
      <w:r>
        <w:rPr>
          <w:rFonts w:asciiTheme="minorHAnsi" w:hAnsiTheme="minorHAnsi" w:cstheme="minorBidi"/>
        </w:rPr>
        <w:t xml:space="preserve"> </w:t>
      </w:r>
      <w:r w:rsidRPr="5621D634">
        <w:rPr>
          <w:rFonts w:asciiTheme="minorHAnsi" w:hAnsiTheme="minorHAnsi" w:cstheme="minorBidi"/>
        </w:rPr>
        <w:t>37</w:t>
      </w:r>
      <w:r>
        <w:rPr>
          <w:rFonts w:asciiTheme="minorHAnsi" w:hAnsiTheme="minorHAnsi" w:cstheme="minorBidi"/>
        </w:rPr>
        <w:t>6</w:t>
      </w:r>
      <w:r w:rsidRPr="5621D634">
        <w:rPr>
          <w:rFonts w:asciiTheme="minorHAnsi" w:hAnsiTheme="minorHAnsi" w:cstheme="minorBidi"/>
        </w:rPr>
        <w:t>0 hoonet, kogupinnaga ~ 6 550 000 m</w:t>
      </w:r>
      <w:r w:rsidRPr="5621D634">
        <w:rPr>
          <w:rFonts w:asciiTheme="minorHAnsi" w:hAnsiTheme="minorHAnsi" w:cstheme="minorBidi"/>
          <w:vertAlign w:val="superscript"/>
        </w:rPr>
        <w:t>2</w:t>
      </w:r>
      <w:r w:rsidRPr="5621D634">
        <w:rPr>
          <w:rFonts w:asciiTheme="minorHAnsi" w:hAnsiTheme="minorHAnsi" w:cstheme="minorBidi"/>
        </w:rPr>
        <w:t>. Sellest 3% on ~</w:t>
      </w:r>
      <w:r>
        <w:rPr>
          <w:rFonts w:asciiTheme="minorHAnsi" w:hAnsiTheme="minorHAnsi" w:cstheme="minorBidi"/>
        </w:rPr>
        <w:t xml:space="preserve"> </w:t>
      </w:r>
      <w:r w:rsidRPr="5621D634">
        <w:rPr>
          <w:rFonts w:asciiTheme="minorHAnsi" w:hAnsiTheme="minorHAnsi" w:cstheme="minorBidi"/>
        </w:rPr>
        <w:t>197 000 m</w:t>
      </w:r>
      <w:r w:rsidRPr="5621D634">
        <w:rPr>
          <w:rFonts w:asciiTheme="minorHAnsi" w:hAnsiTheme="minorHAnsi" w:cstheme="minorBidi"/>
          <w:vertAlign w:val="superscript"/>
        </w:rPr>
        <w:t>2</w:t>
      </w:r>
      <w:r w:rsidRPr="5621D634">
        <w:rPr>
          <w:rFonts w:asciiTheme="minorHAnsi" w:hAnsiTheme="minorHAnsi" w:cstheme="minorBidi"/>
        </w:rPr>
        <w:t>, mi</w:t>
      </w:r>
      <w:r>
        <w:rPr>
          <w:rFonts w:asciiTheme="minorHAnsi" w:hAnsiTheme="minorHAnsi" w:cstheme="minorBidi"/>
        </w:rPr>
        <w:t>s</w:t>
      </w:r>
      <w:r w:rsidRPr="5621D634">
        <w:rPr>
          <w:rFonts w:asciiTheme="minorHAnsi" w:hAnsiTheme="minorHAnsi" w:cstheme="minorBidi"/>
        </w:rPr>
        <w:t xml:space="preserve"> tuleb igal aastal viia olulise rekonstrueerimise energiatõhususe miinimumnõuete</w:t>
      </w:r>
      <w:r>
        <w:rPr>
          <w:rFonts w:asciiTheme="minorHAnsi" w:hAnsiTheme="minorHAnsi" w:cstheme="minorBidi"/>
        </w:rPr>
        <w:t>ga</w:t>
      </w:r>
      <w:r w:rsidRPr="5621D634">
        <w:rPr>
          <w:rFonts w:asciiTheme="minorHAnsi" w:hAnsiTheme="minorHAnsi" w:cstheme="minorBidi"/>
        </w:rPr>
        <w:t xml:space="preserve"> (C klass) vastav</w:t>
      </w:r>
      <w:r>
        <w:rPr>
          <w:rFonts w:asciiTheme="minorHAnsi" w:hAnsiTheme="minorHAnsi" w:cstheme="minorBidi"/>
        </w:rPr>
        <w:t>usse</w:t>
      </w:r>
      <w:r w:rsidRPr="5621D634">
        <w:rPr>
          <w:rFonts w:asciiTheme="minorHAnsi" w:hAnsiTheme="minorHAnsi" w:cstheme="minorBidi"/>
        </w:rPr>
        <w:t>.</w:t>
      </w:r>
    </w:p>
    <w:p w14:paraId="658F846F" w14:textId="77777777" w:rsidR="00B731C3" w:rsidRDefault="00B731C3" w:rsidP="00B731C3">
      <w:pPr>
        <w:pStyle w:val="muudetavtekst"/>
        <w:rPr>
          <w:rFonts w:asciiTheme="minorHAnsi" w:hAnsiTheme="minorHAnsi" w:cstheme="minorBidi"/>
        </w:rPr>
      </w:pPr>
      <w:r>
        <w:rPr>
          <w:rFonts w:asciiTheme="minorHAnsi" w:hAnsiTheme="minorHAnsi" w:cstheme="minorBidi"/>
        </w:rPr>
        <w:t xml:space="preserve">Baastaseme sisse arvestatakse </w:t>
      </w:r>
      <w:r w:rsidRPr="00D642C1">
        <w:rPr>
          <w:rFonts w:asciiTheme="minorHAnsi" w:hAnsiTheme="minorHAnsi" w:cstheme="minorBidi"/>
        </w:rPr>
        <w:t>kõik</w:t>
      </w:r>
      <w:r>
        <w:rPr>
          <w:rFonts w:asciiTheme="minorHAnsi" w:hAnsiTheme="minorHAnsi" w:cstheme="minorBidi"/>
        </w:rPr>
        <w:t>ide</w:t>
      </w:r>
      <w:r w:rsidRPr="00D642C1">
        <w:rPr>
          <w:rFonts w:asciiTheme="minorHAnsi" w:hAnsiTheme="minorHAnsi" w:cstheme="minorBidi"/>
        </w:rPr>
        <w:t xml:space="preserve"> erikategooriatesse kuuluva</w:t>
      </w:r>
      <w:r>
        <w:rPr>
          <w:rFonts w:asciiTheme="minorHAnsi" w:hAnsiTheme="minorHAnsi" w:cstheme="minorBidi"/>
        </w:rPr>
        <w:t>te</w:t>
      </w:r>
      <w:r w:rsidRPr="00D642C1">
        <w:rPr>
          <w:rFonts w:asciiTheme="minorHAnsi" w:hAnsiTheme="minorHAnsi" w:cstheme="minorBidi"/>
        </w:rPr>
        <w:t xml:space="preserve"> hoone</w:t>
      </w:r>
      <w:r>
        <w:rPr>
          <w:rFonts w:asciiTheme="minorHAnsi" w:hAnsiTheme="minorHAnsi" w:cstheme="minorBidi"/>
        </w:rPr>
        <w:t>te (nt töökojad, laod, ka kultuuriväärtuslikud hooned) energiakasutus. Neile kõigile ei rakendu rekonstrueerimisnõue (vt järgmist peatükki ja eespool olevat tabelit 10), aga need mõjutavad oma kasuliku üldpõrandapinnaga baastaset, suurendades iga-aastast rekonstrueerimismahtu.</w:t>
      </w:r>
    </w:p>
    <w:p w14:paraId="4DD88F1C" w14:textId="77777777" w:rsidR="00B731C3" w:rsidRDefault="00B731C3" w:rsidP="00B731C3">
      <w:pPr>
        <w:pStyle w:val="muudetavtekst"/>
        <w:rPr>
          <w:rFonts w:asciiTheme="minorHAnsi" w:hAnsiTheme="minorHAnsi" w:cstheme="minorHAnsi"/>
        </w:rPr>
      </w:pPr>
    </w:p>
    <w:p w14:paraId="07F6F786" w14:textId="77777777" w:rsidR="00B731C3" w:rsidRDefault="00B731C3" w:rsidP="00B731C3">
      <w:pPr>
        <w:pStyle w:val="muudetavtekst"/>
        <w:rPr>
          <w:rFonts w:asciiTheme="minorHAnsi" w:hAnsiTheme="minorHAnsi" w:cstheme="minorBidi"/>
          <w:u w:val="single"/>
        </w:rPr>
      </w:pPr>
      <w:r>
        <w:rPr>
          <w:rFonts w:asciiTheme="minorHAnsi" w:hAnsiTheme="minorHAnsi" w:cstheme="minorBidi"/>
          <w:u w:val="single"/>
        </w:rPr>
        <w:t>Rekonstrueerimise erisused.</w:t>
      </w:r>
    </w:p>
    <w:p w14:paraId="288274B2" w14:textId="77777777" w:rsidR="00B731C3" w:rsidRDefault="00B731C3" w:rsidP="00B731C3">
      <w:pPr>
        <w:pStyle w:val="muudetavtekst"/>
        <w:rPr>
          <w:rFonts w:asciiTheme="minorHAnsi" w:hAnsiTheme="minorHAnsi" w:cstheme="minorBidi"/>
        </w:rPr>
      </w:pPr>
      <w:r>
        <w:rPr>
          <w:rFonts w:asciiTheme="minorHAnsi" w:hAnsiTheme="minorHAnsi" w:cstheme="minorBidi"/>
        </w:rPr>
        <w:t>Kõiki hooneid tõenäoliselt ei saa energiatõhususe miinimumnõuetele vastavaks rekonstrueerida nende eripära tõttu. Energiatõhususe meetmed ei pruugi olla piisavalt tehniliselt, majanduslikult ja funktsionaalselt teostatavad, et tagada energiatõhususe miinimumnõuded, sõltumata hoone kasutusotstarbest.</w:t>
      </w:r>
    </w:p>
    <w:p w14:paraId="2FC3A02A" w14:textId="77777777" w:rsidR="00B731C3" w:rsidRDefault="00B731C3" w:rsidP="00B731C3">
      <w:pPr>
        <w:pStyle w:val="muudetavtekst"/>
        <w:rPr>
          <w:rFonts w:asciiTheme="minorHAnsi" w:hAnsiTheme="minorHAnsi" w:cstheme="minorBidi"/>
        </w:rPr>
      </w:pPr>
    </w:p>
    <w:p w14:paraId="7EE43A61" w14:textId="77777777" w:rsidR="00B731C3" w:rsidRPr="009E7170" w:rsidRDefault="00B731C3" w:rsidP="00B731C3">
      <w:pPr>
        <w:pStyle w:val="muudetavtekst"/>
        <w:rPr>
          <w:rFonts w:asciiTheme="minorHAnsi" w:hAnsiTheme="minorHAnsi" w:cstheme="minorBidi"/>
        </w:rPr>
      </w:pPr>
      <w:r w:rsidRPr="009E7170">
        <w:rPr>
          <w:rFonts w:asciiTheme="minorHAnsi" w:hAnsiTheme="minorHAnsi" w:cstheme="minorBidi"/>
        </w:rPr>
        <w:t>Tehnilist, majanduslikku ja funktsionaalset teostatavust tuleks tõlgendada järgmiselt:</w:t>
      </w:r>
    </w:p>
    <w:p w14:paraId="14A09440" w14:textId="77777777" w:rsidR="00B731C3" w:rsidRPr="009E7170" w:rsidRDefault="00B731C3" w:rsidP="00B731C3">
      <w:pPr>
        <w:pStyle w:val="muudetavtekst"/>
        <w:rPr>
          <w:rFonts w:asciiTheme="minorHAnsi" w:hAnsiTheme="minorHAnsi" w:cstheme="minorBidi"/>
        </w:rPr>
      </w:pPr>
      <w:r>
        <w:rPr>
          <w:rFonts w:asciiTheme="minorHAnsi" w:hAnsiTheme="minorHAnsi" w:cstheme="minorBidi"/>
        </w:rPr>
        <w:t>-</w:t>
      </w:r>
      <w:r w:rsidRPr="009E7170">
        <w:rPr>
          <w:rFonts w:asciiTheme="minorHAnsi" w:hAnsiTheme="minorHAnsi" w:cstheme="minorBidi"/>
        </w:rPr>
        <w:t xml:space="preserve"> tehniline teostatavus –</w:t>
      </w:r>
      <w:r>
        <w:rPr>
          <w:rFonts w:asciiTheme="minorHAnsi" w:hAnsiTheme="minorHAnsi" w:cstheme="minorBidi"/>
        </w:rPr>
        <w:t xml:space="preserve"> </w:t>
      </w:r>
      <w:r w:rsidRPr="009E7170">
        <w:rPr>
          <w:rFonts w:asciiTheme="minorHAnsi" w:hAnsiTheme="minorHAnsi" w:cstheme="minorBidi"/>
        </w:rPr>
        <w:t xml:space="preserve">tehnilistel põhjustel </w:t>
      </w:r>
      <w:r>
        <w:rPr>
          <w:rFonts w:asciiTheme="minorHAnsi" w:hAnsiTheme="minorHAnsi" w:cstheme="minorBidi"/>
        </w:rPr>
        <w:t>on</w:t>
      </w:r>
      <w:r w:rsidRPr="009E7170">
        <w:rPr>
          <w:rFonts w:asciiTheme="minorHAnsi" w:hAnsiTheme="minorHAnsi" w:cstheme="minorBidi"/>
        </w:rPr>
        <w:t xml:space="preserve"> võimalik nõudeid täita</w:t>
      </w:r>
      <w:r>
        <w:rPr>
          <w:rFonts w:asciiTheme="minorHAnsi" w:hAnsiTheme="minorHAnsi" w:cstheme="minorBidi"/>
        </w:rPr>
        <w:t>;</w:t>
      </w:r>
      <w:r w:rsidRPr="009E7170">
        <w:rPr>
          <w:rFonts w:asciiTheme="minorHAnsi" w:hAnsiTheme="minorHAnsi" w:cstheme="minorBidi"/>
        </w:rPr>
        <w:t xml:space="preserve"> tehniliselt teostamatu </w:t>
      </w:r>
      <w:r>
        <w:rPr>
          <w:rFonts w:asciiTheme="minorHAnsi" w:hAnsiTheme="minorHAnsi" w:cstheme="minorBidi"/>
        </w:rPr>
        <w:t xml:space="preserve">aga juhul, </w:t>
      </w:r>
      <w:r w:rsidRPr="009E7170">
        <w:rPr>
          <w:rFonts w:asciiTheme="minorHAnsi" w:hAnsiTheme="minorHAnsi" w:cstheme="minorBidi"/>
        </w:rPr>
        <w:t xml:space="preserve">kui </w:t>
      </w:r>
      <w:r>
        <w:rPr>
          <w:rFonts w:asciiTheme="minorHAnsi" w:hAnsiTheme="minorHAnsi" w:cstheme="minorBidi"/>
        </w:rPr>
        <w:t xml:space="preserve">hoone ja tehnosüsteemide </w:t>
      </w:r>
      <w:r w:rsidRPr="009E7170">
        <w:rPr>
          <w:rFonts w:asciiTheme="minorHAnsi" w:hAnsiTheme="minorHAnsi" w:cstheme="minorBidi"/>
        </w:rPr>
        <w:t>tehniliste näitajate t</w:t>
      </w:r>
      <w:r>
        <w:rPr>
          <w:rFonts w:asciiTheme="minorHAnsi" w:hAnsiTheme="minorHAnsi" w:cstheme="minorBidi"/>
        </w:rPr>
        <w:t>õttu</w:t>
      </w:r>
      <w:r w:rsidRPr="009E7170">
        <w:rPr>
          <w:rFonts w:asciiTheme="minorHAnsi" w:hAnsiTheme="minorHAnsi" w:cstheme="minorBidi"/>
        </w:rPr>
        <w:t xml:space="preserve"> ei saa nõudeid järgida</w:t>
      </w:r>
      <w:r>
        <w:rPr>
          <w:rFonts w:asciiTheme="minorHAnsi" w:hAnsiTheme="minorHAnsi" w:cstheme="minorBidi"/>
        </w:rPr>
        <w:t xml:space="preserve"> (nt päikesepaneelide panek eeldab ka käidukorraldust),</w:t>
      </w:r>
    </w:p>
    <w:p w14:paraId="6F641C36" w14:textId="77777777" w:rsidR="00B731C3" w:rsidRPr="009E7170" w:rsidRDefault="00B731C3" w:rsidP="00B731C3">
      <w:pPr>
        <w:pStyle w:val="muudetavtekst"/>
        <w:rPr>
          <w:rFonts w:asciiTheme="minorHAnsi" w:hAnsiTheme="minorHAnsi" w:cstheme="minorBidi"/>
        </w:rPr>
      </w:pPr>
      <w:r>
        <w:rPr>
          <w:rFonts w:asciiTheme="minorHAnsi" w:hAnsiTheme="minorHAnsi" w:cstheme="minorBidi"/>
        </w:rPr>
        <w:t>-</w:t>
      </w:r>
      <w:r w:rsidRPr="009E7170">
        <w:rPr>
          <w:rFonts w:asciiTheme="minorHAnsi" w:hAnsiTheme="minorHAnsi" w:cstheme="minorBidi"/>
        </w:rPr>
        <w:t xml:space="preserve"> majanduslik teostatavus s</w:t>
      </w:r>
      <w:r>
        <w:rPr>
          <w:rFonts w:asciiTheme="minorHAnsi" w:hAnsiTheme="minorHAnsi" w:cstheme="minorBidi"/>
        </w:rPr>
        <w:t>õltub</w:t>
      </w:r>
      <w:r w:rsidRPr="009E7170">
        <w:rPr>
          <w:rFonts w:asciiTheme="minorHAnsi" w:hAnsiTheme="minorHAnsi" w:cstheme="minorBidi"/>
        </w:rPr>
        <w:t xml:space="preserve"> nõuete täitmise kulude</w:t>
      </w:r>
      <w:r>
        <w:rPr>
          <w:rFonts w:asciiTheme="minorHAnsi" w:hAnsiTheme="minorHAnsi" w:cstheme="minorBidi"/>
        </w:rPr>
        <w:t>st</w:t>
      </w:r>
      <w:r w:rsidRPr="009E7170">
        <w:rPr>
          <w:rFonts w:asciiTheme="minorHAnsi" w:hAnsiTheme="minorHAnsi" w:cstheme="minorBidi"/>
        </w:rPr>
        <w:t xml:space="preserve"> ja selle</w:t>
      </w:r>
      <w:r>
        <w:rPr>
          <w:rFonts w:asciiTheme="minorHAnsi" w:hAnsiTheme="minorHAnsi" w:cstheme="minorBidi"/>
        </w:rPr>
        <w:t>st</w:t>
      </w:r>
      <w:r w:rsidRPr="009E7170">
        <w:rPr>
          <w:rFonts w:asciiTheme="minorHAnsi" w:hAnsiTheme="minorHAnsi" w:cstheme="minorBidi"/>
        </w:rPr>
        <w:t>, kas need kulud on kavandatava sekkumise (nt süsteemi uuendamise) kulude suhtes proportsionaalsed; eeldatav kasu kaalub kulud üles, võttes arvesse süsteemi eeldatavat tööiga;</w:t>
      </w:r>
    </w:p>
    <w:p w14:paraId="6E9B2FF6" w14:textId="77777777" w:rsidR="00B731C3" w:rsidRDefault="00B731C3" w:rsidP="00B731C3">
      <w:pPr>
        <w:pStyle w:val="muudetavtekst"/>
        <w:rPr>
          <w:rFonts w:asciiTheme="minorHAnsi" w:hAnsiTheme="minorHAnsi" w:cstheme="minorBidi"/>
        </w:rPr>
      </w:pPr>
      <w:r>
        <w:rPr>
          <w:rFonts w:asciiTheme="minorHAnsi" w:hAnsiTheme="minorHAnsi" w:cstheme="minorBidi"/>
        </w:rPr>
        <w:t>-</w:t>
      </w:r>
      <w:r w:rsidRPr="009E7170">
        <w:rPr>
          <w:rFonts w:asciiTheme="minorHAnsi" w:hAnsiTheme="minorHAnsi" w:cstheme="minorBidi"/>
        </w:rPr>
        <w:t xml:space="preserve"> funktsionaalne teostatavus </w:t>
      </w:r>
      <w:r>
        <w:rPr>
          <w:rFonts w:asciiTheme="minorHAnsi" w:hAnsiTheme="minorHAnsi" w:cstheme="minorBidi"/>
        </w:rPr>
        <w:t>sõltub sellest, kas</w:t>
      </w:r>
      <w:r w:rsidRPr="009E7170">
        <w:rPr>
          <w:rFonts w:asciiTheme="minorHAnsi" w:hAnsiTheme="minorHAnsi" w:cstheme="minorBidi"/>
        </w:rPr>
        <w:t xml:space="preserve"> nõuete täitmine too</w:t>
      </w:r>
      <w:r>
        <w:rPr>
          <w:rFonts w:asciiTheme="minorHAnsi" w:hAnsiTheme="minorHAnsi" w:cstheme="minorBidi"/>
        </w:rPr>
        <w:t>b</w:t>
      </w:r>
      <w:r w:rsidRPr="009E7170">
        <w:rPr>
          <w:rFonts w:asciiTheme="minorHAnsi" w:hAnsiTheme="minorHAnsi" w:cstheme="minorBidi"/>
        </w:rPr>
        <w:t xml:space="preserve"> kaasa muutusi, mis takistaksid süsteemi toimimist või hoone (või selle osa) kasutamist, võttes arvesse konkreetseid piiranguid (nt tehnilisi eeskirju), mida võidakse süsteemi ja/või hoone suhtes kohaldada</w:t>
      </w:r>
      <w:r>
        <w:rPr>
          <w:rFonts w:asciiTheme="minorHAnsi" w:hAnsiTheme="minorHAnsi" w:cstheme="minorBidi"/>
        </w:rPr>
        <w:t>.</w:t>
      </w:r>
    </w:p>
    <w:p w14:paraId="528BE362" w14:textId="77777777" w:rsidR="00B731C3" w:rsidRDefault="00B731C3" w:rsidP="00B731C3">
      <w:pPr>
        <w:pStyle w:val="muudetavtekst"/>
        <w:rPr>
          <w:rFonts w:asciiTheme="minorHAnsi" w:hAnsiTheme="minorHAnsi" w:cstheme="minorBidi"/>
        </w:rPr>
      </w:pPr>
    </w:p>
    <w:p w14:paraId="5B9EF98C" w14:textId="77777777" w:rsidR="00B731C3" w:rsidRDefault="00B731C3" w:rsidP="00B731C3">
      <w:pPr>
        <w:pStyle w:val="muudetavtekst"/>
        <w:rPr>
          <w:rFonts w:asciiTheme="minorHAnsi" w:hAnsiTheme="minorHAnsi" w:cstheme="minorBidi"/>
        </w:rPr>
      </w:pPr>
      <w:r>
        <w:rPr>
          <w:rFonts w:asciiTheme="minorHAnsi" w:hAnsiTheme="minorHAnsi" w:cstheme="minorBidi"/>
        </w:rPr>
        <w:t>Need tingimused annavad avaliku sektori asutustele teatud paindlikkuse, milliseid hooneid ja kuidas rekonstrueerida, tagada tuleb vaid üldeesmärk 3% (197 000 m</w:t>
      </w:r>
      <w:r>
        <w:rPr>
          <w:rFonts w:asciiTheme="minorHAnsi" w:hAnsiTheme="minorHAnsi" w:cstheme="minorBidi"/>
          <w:vertAlign w:val="superscript"/>
        </w:rPr>
        <w:t>2</w:t>
      </w:r>
      <w:r>
        <w:rPr>
          <w:rFonts w:asciiTheme="minorHAnsi" w:hAnsiTheme="minorHAnsi" w:cstheme="minorBidi"/>
        </w:rPr>
        <w:t>) rekonstrueerimine energiatõhususe miinimumtaseme vastavaks.</w:t>
      </w:r>
    </w:p>
    <w:p w14:paraId="7CD84C9E" w14:textId="77777777" w:rsidR="00B731C3" w:rsidRDefault="00B731C3" w:rsidP="00B731C3">
      <w:pPr>
        <w:pStyle w:val="muudetavtekst"/>
        <w:rPr>
          <w:rFonts w:asciiTheme="minorHAnsi" w:hAnsiTheme="minorHAnsi" w:cstheme="minorBidi"/>
        </w:rPr>
      </w:pPr>
    </w:p>
    <w:p w14:paraId="110044A9" w14:textId="77777777" w:rsidR="00B731C3" w:rsidRDefault="00B731C3" w:rsidP="00B731C3">
      <w:pPr>
        <w:pStyle w:val="muudetavtekst"/>
        <w:rPr>
          <w:rFonts w:asciiTheme="minorHAnsi" w:hAnsiTheme="minorHAnsi" w:cstheme="minorBidi"/>
          <w:u w:val="single"/>
        </w:rPr>
      </w:pPr>
      <w:r w:rsidRPr="0058386F">
        <w:rPr>
          <w:rFonts w:asciiTheme="minorHAnsi" w:hAnsiTheme="minorHAnsi" w:cstheme="minorBidi"/>
          <w:u w:val="single"/>
        </w:rPr>
        <w:t>Kultuuriväärtuslikud hooned</w:t>
      </w:r>
    </w:p>
    <w:p w14:paraId="5256B33A" w14:textId="77777777" w:rsidR="00B731C3" w:rsidRDefault="00B731C3" w:rsidP="00B731C3">
      <w:pPr>
        <w:pStyle w:val="muudetavtekst"/>
        <w:rPr>
          <w:rFonts w:asciiTheme="minorHAnsi" w:hAnsiTheme="minorHAnsi" w:cstheme="minorBidi"/>
        </w:rPr>
      </w:pPr>
      <w:r>
        <w:rPr>
          <w:rFonts w:asciiTheme="minorHAnsi" w:hAnsiTheme="minorHAnsi" w:cstheme="minorBidi"/>
        </w:rPr>
        <w:t>Kultuuriväärtuslikele hoonetele (mõiste ehitusseadustiku</w:t>
      </w:r>
      <w:r>
        <w:rPr>
          <w:rStyle w:val="Allmrkuseviide"/>
          <w:rFonts w:asciiTheme="minorHAnsi" w:hAnsiTheme="minorHAnsi" w:cstheme="minorBidi"/>
        </w:rPr>
        <w:footnoteReference w:id="43"/>
      </w:r>
      <w:r>
        <w:rPr>
          <w:rFonts w:asciiTheme="minorHAnsi" w:hAnsiTheme="minorHAnsi" w:cstheme="minorBidi"/>
        </w:rPr>
        <w:t xml:space="preserve"> § 62 lõike 2 punktis 1) energiatõhususe nõuded praegu üldse ei rakendu. Hoonete energiatõhususe direktiivi</w:t>
      </w:r>
      <w:r>
        <w:rPr>
          <w:rStyle w:val="Allmrkuseviide"/>
          <w:rFonts w:asciiTheme="minorHAnsi" w:hAnsiTheme="minorHAnsi" w:cstheme="minorBidi"/>
        </w:rPr>
        <w:footnoteReference w:id="44"/>
      </w:r>
      <w:r>
        <w:rPr>
          <w:rFonts w:asciiTheme="minorHAnsi" w:hAnsiTheme="minorHAnsi" w:cstheme="minorBidi"/>
        </w:rPr>
        <w:t xml:space="preserve"> (EL 2024/1275) järgi ei kuulu aga kultuuriväärtuslikud hooned enam erandi alla, seetõttu on muutmisel ka EhSi § 62 lõige 2.</w:t>
      </w:r>
    </w:p>
    <w:p w14:paraId="63269BDF" w14:textId="77777777" w:rsidR="00B731C3" w:rsidRDefault="00B731C3" w:rsidP="00B731C3">
      <w:pPr>
        <w:pStyle w:val="muudetavtekst"/>
        <w:rPr>
          <w:rFonts w:asciiTheme="minorHAnsi" w:hAnsiTheme="minorHAnsi" w:cstheme="minorBidi"/>
        </w:rPr>
      </w:pPr>
      <w:r w:rsidRPr="005E77F9">
        <w:rPr>
          <w:rFonts w:asciiTheme="minorHAnsi" w:hAnsiTheme="minorHAnsi" w:cstheme="minorBidi"/>
        </w:rPr>
        <w:t>Keskvalitsusel ja KOVidel on u 400 kultuuriväärtuslikku hoonet (sh eh</w:t>
      </w:r>
      <w:r>
        <w:rPr>
          <w:rFonts w:asciiTheme="minorHAnsi" w:hAnsiTheme="minorHAnsi" w:cstheme="minorBidi"/>
        </w:rPr>
        <w:t>itis</w:t>
      </w:r>
      <w:r w:rsidRPr="005E77F9">
        <w:rPr>
          <w:rFonts w:asciiTheme="minorHAnsi" w:hAnsiTheme="minorHAnsi" w:cstheme="minorBidi"/>
        </w:rPr>
        <w:t>mälestis, miljööväärtuslikul alal paiknevad hooned, UNESCO pärand jt) kogupinnaga umbes 590</w:t>
      </w:r>
      <w:r>
        <w:rPr>
          <w:rFonts w:asciiTheme="minorHAnsi" w:hAnsiTheme="minorHAnsi" w:cstheme="minorBidi"/>
        </w:rPr>
        <w:t> </w:t>
      </w:r>
      <w:r w:rsidRPr="005E77F9">
        <w:rPr>
          <w:rFonts w:asciiTheme="minorHAnsi" w:hAnsiTheme="minorHAnsi" w:cstheme="minorBidi"/>
        </w:rPr>
        <w:t>000</w:t>
      </w:r>
      <w:r>
        <w:rPr>
          <w:rFonts w:asciiTheme="minorHAnsi" w:hAnsiTheme="minorHAnsi" w:cstheme="minorBidi"/>
        </w:rPr>
        <w:t> </w:t>
      </w:r>
      <w:r w:rsidRPr="005E77F9">
        <w:rPr>
          <w:rFonts w:asciiTheme="minorHAnsi" w:hAnsiTheme="minorHAnsi" w:cstheme="minorBidi"/>
        </w:rPr>
        <w:t>m</w:t>
      </w:r>
      <w:r w:rsidRPr="00995833">
        <w:rPr>
          <w:rFonts w:asciiTheme="minorHAnsi" w:hAnsiTheme="minorHAnsi" w:cstheme="minorBidi"/>
          <w:vertAlign w:val="superscript"/>
        </w:rPr>
        <w:t>2</w:t>
      </w:r>
      <w:r w:rsidRPr="005E77F9">
        <w:rPr>
          <w:rFonts w:asciiTheme="minorHAnsi" w:hAnsiTheme="minorHAnsi" w:cstheme="minorBidi"/>
        </w:rPr>
        <w:t xml:space="preserve">. </w:t>
      </w:r>
      <w:r>
        <w:rPr>
          <w:rFonts w:asciiTheme="minorHAnsi" w:hAnsiTheme="minorHAnsi" w:cstheme="minorBidi"/>
        </w:rPr>
        <w:t xml:space="preserve">Direktiiv sätestab, et nende hoonete rekonstrueerimistööd saab 3% nõude täitmisel arvesse võtta </w:t>
      </w:r>
      <w:r w:rsidRPr="6C77E38F">
        <w:rPr>
          <w:rFonts w:asciiTheme="minorHAnsi" w:hAnsiTheme="minorHAnsi" w:cstheme="minorBidi"/>
        </w:rPr>
        <w:t>siis</w:t>
      </w:r>
      <w:r>
        <w:rPr>
          <w:rFonts w:asciiTheme="minorHAnsi" w:hAnsiTheme="minorHAnsi" w:cstheme="minorBidi"/>
        </w:rPr>
        <w:t>,</w:t>
      </w:r>
      <w:r w:rsidRPr="6C77E38F">
        <w:rPr>
          <w:rFonts w:asciiTheme="minorHAnsi" w:hAnsiTheme="minorHAnsi" w:cstheme="minorBidi"/>
        </w:rPr>
        <w:t xml:space="preserve"> kui</w:t>
      </w:r>
      <w:r>
        <w:rPr>
          <w:rFonts w:asciiTheme="minorHAnsi" w:hAnsiTheme="minorHAnsi" w:cstheme="minorBidi"/>
        </w:rPr>
        <w:t xml:space="preserve"> kultuuriväärtuslikele hoonetele sätestatakse teatavad miinimumnõuded. Eesti seda leevendusmeedet rakendab </w:t>
      </w:r>
      <w:r w:rsidRPr="6C77E38F">
        <w:rPr>
          <w:rFonts w:asciiTheme="minorHAnsi" w:hAnsiTheme="minorHAnsi" w:cstheme="minorBidi"/>
        </w:rPr>
        <w:t>ja</w:t>
      </w:r>
      <w:r>
        <w:rPr>
          <w:rFonts w:asciiTheme="minorHAnsi" w:hAnsiTheme="minorHAnsi" w:cstheme="minorBidi"/>
        </w:rPr>
        <w:t xml:space="preserve"> Kliimaministeerium koostöös Kultuuriministeeriumi ja Muinsuskaitseametiga on välja töötamas miinimumnõudeid avaliku sektori asutuste kultuuriväärtuslikele hoonetele. Miinimumnõuded peavad olema </w:t>
      </w:r>
      <w:r w:rsidRPr="0003340A">
        <w:rPr>
          <w:rFonts w:asciiTheme="minorHAnsi" w:hAnsiTheme="minorHAnsi" w:cstheme="minorBidi"/>
        </w:rPr>
        <w:t xml:space="preserve">liginullenergiahoone või heitevaba hoone </w:t>
      </w:r>
      <w:r>
        <w:rPr>
          <w:rFonts w:asciiTheme="minorHAnsi" w:hAnsiTheme="minorHAnsi" w:cstheme="minorBidi"/>
        </w:rPr>
        <w:t>mõistele</w:t>
      </w:r>
      <w:r w:rsidRPr="0003340A">
        <w:rPr>
          <w:rFonts w:asciiTheme="minorHAnsi" w:hAnsiTheme="minorHAnsi" w:cstheme="minorBidi"/>
        </w:rPr>
        <w:t xml:space="preserve"> võimalikult lähedal, võttes arvesse hoone eriomadusi.</w:t>
      </w:r>
    </w:p>
    <w:p w14:paraId="5B36B81D" w14:textId="77777777" w:rsidR="00B731C3" w:rsidRDefault="00B731C3" w:rsidP="00B731C3">
      <w:pPr>
        <w:pStyle w:val="muudetavtekst"/>
        <w:rPr>
          <w:rFonts w:asciiTheme="minorHAnsi" w:hAnsiTheme="minorHAnsi" w:cstheme="minorBidi"/>
        </w:rPr>
      </w:pPr>
      <w:r>
        <w:rPr>
          <w:rFonts w:asciiTheme="minorHAnsi" w:hAnsiTheme="minorHAnsi" w:cstheme="minorBidi"/>
        </w:rPr>
        <w:t>Kui miinimumnõudeid ei määrata ning leevendusmeedet ei kasutata, on tõenäoline, et need hooned jäävad prioriteetidest välja ning nende korrastamisega ei tegeleta.</w:t>
      </w:r>
    </w:p>
    <w:p w14:paraId="5D422546" w14:textId="77777777" w:rsidR="00B731C3" w:rsidRDefault="00B731C3" w:rsidP="00B731C3">
      <w:pPr>
        <w:pStyle w:val="muudetavtekst"/>
        <w:rPr>
          <w:rFonts w:asciiTheme="minorHAnsi" w:hAnsiTheme="minorHAnsi" w:cstheme="minorBidi"/>
        </w:rPr>
      </w:pPr>
    </w:p>
    <w:p w14:paraId="4D9CC81E" w14:textId="77777777" w:rsidR="00B731C3" w:rsidRDefault="00B731C3" w:rsidP="00B731C3">
      <w:pPr>
        <w:pStyle w:val="muudetavtekst"/>
        <w:rPr>
          <w:rFonts w:asciiTheme="minorHAnsi" w:hAnsiTheme="minorHAnsi" w:cstheme="minorBidi"/>
        </w:rPr>
      </w:pPr>
      <w:r w:rsidRPr="00D46ACA">
        <w:rPr>
          <w:rFonts w:asciiTheme="minorHAnsi" w:hAnsiTheme="minorHAnsi" w:cstheme="minorBidi"/>
        </w:rPr>
        <w:t>Kultuuriväärtuslike hoonete</w:t>
      </w:r>
      <w:r>
        <w:rPr>
          <w:rFonts w:asciiTheme="minorHAnsi" w:hAnsiTheme="minorHAnsi" w:cstheme="minorBidi"/>
        </w:rPr>
        <w:t xml:space="preserve"> hulka</w:t>
      </w:r>
      <w:r w:rsidRPr="00D46ACA">
        <w:rPr>
          <w:rFonts w:asciiTheme="minorHAnsi" w:hAnsiTheme="minorHAnsi" w:cstheme="minorBidi"/>
        </w:rPr>
        <w:t xml:space="preserve"> võivad kuuluda ka kultuskohtadena või religioosseks tegevuseks kasutatavad </w:t>
      </w:r>
      <w:r>
        <w:rPr>
          <w:rFonts w:asciiTheme="minorHAnsi" w:hAnsiTheme="minorHAnsi" w:cstheme="minorBidi"/>
        </w:rPr>
        <w:t>hooned, kuid need hooned ei kuulu avaliku sektori asutusele, seetõttu neid ei võeta arvesse ei baastaseme määramisel ega kohandu neile ka koostatavad kultuuriväärtuslike hoonete miinimumnõuded.</w:t>
      </w:r>
    </w:p>
    <w:p w14:paraId="12B61100" w14:textId="77777777" w:rsidR="00B731C3" w:rsidRDefault="00B731C3" w:rsidP="00B731C3">
      <w:pPr>
        <w:pStyle w:val="muudetavtekst"/>
        <w:rPr>
          <w:rFonts w:asciiTheme="minorHAnsi" w:hAnsiTheme="minorHAnsi" w:cstheme="minorBidi"/>
        </w:rPr>
      </w:pPr>
    </w:p>
    <w:p w14:paraId="6DB6E844" w14:textId="77777777" w:rsidR="00B731C3" w:rsidRDefault="00B731C3" w:rsidP="00B731C3">
      <w:pPr>
        <w:pStyle w:val="muudetavtekst"/>
        <w:rPr>
          <w:rFonts w:asciiTheme="minorHAnsi" w:hAnsiTheme="minorHAnsi" w:cstheme="minorBidi"/>
          <w:u w:val="single"/>
        </w:rPr>
      </w:pPr>
      <w:r w:rsidRPr="0058386F">
        <w:rPr>
          <w:rFonts w:asciiTheme="minorHAnsi" w:hAnsiTheme="minorHAnsi" w:cstheme="minorBidi"/>
          <w:u w:val="single"/>
        </w:rPr>
        <w:t>Relvajõud</w:t>
      </w:r>
    </w:p>
    <w:p w14:paraId="1CF96C8B" w14:textId="77777777" w:rsidR="00B731C3" w:rsidRDefault="00B731C3" w:rsidP="00B731C3">
      <w:pPr>
        <w:pStyle w:val="muudetavtekst"/>
        <w:rPr>
          <w:rFonts w:asciiTheme="minorHAnsi" w:hAnsiTheme="minorHAnsi" w:cstheme="minorBidi"/>
        </w:rPr>
      </w:pPr>
      <w:r>
        <w:rPr>
          <w:rFonts w:asciiTheme="minorHAnsi" w:hAnsiTheme="minorHAnsi" w:cstheme="minorBidi"/>
        </w:rPr>
        <w:t>Relvajõudude hooned võetakse baastaseme arvutustes arvesse. R</w:t>
      </w:r>
      <w:r w:rsidRPr="0058386F">
        <w:rPr>
          <w:rFonts w:asciiTheme="minorHAnsi" w:hAnsiTheme="minorHAnsi" w:cstheme="minorBidi"/>
        </w:rPr>
        <w:t>elvajõududele või keskvalitsusele kuuluva</w:t>
      </w:r>
      <w:r>
        <w:rPr>
          <w:rFonts w:asciiTheme="minorHAnsi" w:hAnsiTheme="minorHAnsi" w:cstheme="minorBidi"/>
        </w:rPr>
        <w:t>tele</w:t>
      </w:r>
      <w:r w:rsidRPr="0058386F">
        <w:rPr>
          <w:rFonts w:asciiTheme="minorHAnsi" w:hAnsiTheme="minorHAnsi" w:cstheme="minorBidi"/>
        </w:rPr>
        <w:t xml:space="preserve"> ja riigikaitse eesmärke teeniva</w:t>
      </w:r>
      <w:r>
        <w:rPr>
          <w:rFonts w:asciiTheme="minorHAnsi" w:hAnsiTheme="minorHAnsi" w:cstheme="minorBidi"/>
        </w:rPr>
        <w:t>tele</w:t>
      </w:r>
      <w:r w:rsidRPr="0058386F">
        <w:rPr>
          <w:rFonts w:asciiTheme="minorHAnsi" w:hAnsiTheme="minorHAnsi" w:cstheme="minorBidi"/>
        </w:rPr>
        <w:t xml:space="preserve"> hoone</w:t>
      </w:r>
      <w:r>
        <w:rPr>
          <w:rFonts w:asciiTheme="minorHAnsi" w:hAnsiTheme="minorHAnsi" w:cstheme="minorBidi"/>
        </w:rPr>
        <w:t xml:space="preserve">tele ei rakendu renoveerimisnõuded, v.a </w:t>
      </w:r>
      <w:r w:rsidRPr="0058386F">
        <w:rPr>
          <w:rFonts w:asciiTheme="minorHAnsi" w:hAnsiTheme="minorHAnsi" w:cstheme="minorBidi"/>
        </w:rPr>
        <w:t>individuaalsed eluruumid</w:t>
      </w:r>
      <w:r>
        <w:rPr>
          <w:rFonts w:asciiTheme="minorHAnsi" w:hAnsiTheme="minorHAnsi" w:cstheme="minorBidi"/>
        </w:rPr>
        <w:t xml:space="preserve"> (nt kasarmud)</w:t>
      </w:r>
      <w:r w:rsidRPr="0058386F">
        <w:rPr>
          <w:rFonts w:asciiTheme="minorHAnsi" w:hAnsiTheme="minorHAnsi" w:cstheme="minorBidi"/>
        </w:rPr>
        <w:t xml:space="preserve"> ja kontorihooned</w:t>
      </w:r>
      <w:r>
        <w:rPr>
          <w:rFonts w:asciiTheme="minorHAnsi" w:hAnsiTheme="minorHAnsi" w:cstheme="minorBidi"/>
        </w:rPr>
        <w:t>, sest nende hoonete rekonstrueerimistööd on sarnased ja enamasti kulutõhusad, nagu on ka avaliku sektori asutuste või erasektori omandis olevate kontorihoonete rekonstrueerimine.</w:t>
      </w:r>
    </w:p>
    <w:p w14:paraId="27C5E372" w14:textId="77777777" w:rsidR="00B731C3" w:rsidRDefault="00B731C3" w:rsidP="00B731C3">
      <w:pPr>
        <w:pStyle w:val="muudetavtekst"/>
        <w:rPr>
          <w:rFonts w:asciiTheme="minorHAnsi" w:hAnsiTheme="minorHAnsi" w:cstheme="minorHAnsi"/>
        </w:rPr>
      </w:pPr>
    </w:p>
    <w:p w14:paraId="6DB342CF" w14:textId="77777777" w:rsidR="00B731C3" w:rsidRDefault="00B731C3" w:rsidP="00B731C3">
      <w:pPr>
        <w:pStyle w:val="muudetavtekst"/>
        <w:rPr>
          <w:rFonts w:asciiTheme="minorHAnsi" w:hAnsiTheme="minorHAnsi" w:cstheme="minorBidi"/>
        </w:rPr>
      </w:pPr>
      <w:r w:rsidRPr="490A73E8">
        <w:rPr>
          <w:rFonts w:asciiTheme="minorHAnsi" w:hAnsiTheme="minorHAnsi" w:cstheme="minorBidi"/>
          <w:b/>
          <w:bCs/>
        </w:rPr>
        <w:t xml:space="preserve">Punktiga </w:t>
      </w:r>
      <w:r>
        <w:rPr>
          <w:rFonts w:asciiTheme="minorHAnsi" w:hAnsiTheme="minorHAnsi" w:cstheme="minorBidi"/>
          <w:b/>
          <w:bCs/>
        </w:rPr>
        <w:t>20</w:t>
      </w:r>
      <w:r w:rsidRPr="490A73E8">
        <w:rPr>
          <w:rFonts w:asciiTheme="minorHAnsi" w:hAnsiTheme="minorHAnsi" w:cstheme="minorBidi"/>
        </w:rPr>
        <w:t xml:space="preserve"> muudetakse EnKS</w:t>
      </w:r>
      <w:r>
        <w:rPr>
          <w:rFonts w:asciiTheme="minorHAnsi" w:hAnsiTheme="minorHAnsi" w:cstheme="minorBidi"/>
        </w:rPr>
        <w:t>i</w:t>
      </w:r>
      <w:r w:rsidRPr="490A73E8">
        <w:rPr>
          <w:rFonts w:asciiTheme="minorHAnsi" w:hAnsiTheme="minorHAnsi" w:cstheme="minorBidi"/>
        </w:rPr>
        <w:t xml:space="preserve"> </w:t>
      </w:r>
      <w:r w:rsidRPr="57490200">
        <w:rPr>
          <w:rFonts w:asciiTheme="minorHAnsi" w:hAnsiTheme="minorHAnsi" w:cstheme="minorBidi"/>
        </w:rPr>
        <w:t>§</w:t>
      </w:r>
      <w:r w:rsidRPr="490A73E8">
        <w:rPr>
          <w:rFonts w:asciiTheme="minorHAnsi" w:hAnsiTheme="minorHAnsi" w:cstheme="minorBidi"/>
        </w:rPr>
        <w:t xml:space="preserve">5 lõiget 4, mis sätestab erandid hoonetele, millele rekonstrueerimisnõue ei rakendu. </w:t>
      </w:r>
      <w:r>
        <w:rPr>
          <w:rFonts w:asciiTheme="minorHAnsi" w:hAnsiTheme="minorHAnsi" w:cstheme="minorBidi"/>
        </w:rPr>
        <w:t xml:space="preserve">Lõikega 4 võetakse üle direktiivi artikkel 6 lõige 1 kolmas lõik ja lõige 2, kui leevendused nõude rakendamisel. </w:t>
      </w:r>
      <w:r w:rsidRPr="490A73E8">
        <w:rPr>
          <w:rFonts w:asciiTheme="minorHAnsi" w:hAnsiTheme="minorHAnsi" w:cstheme="minorBidi"/>
        </w:rPr>
        <w:t>Selguse mõttes on nõuded nüüd eri punktidena välja toodud. Muutmata kujul senises sõnastuses on punktid 1 ja 2</w:t>
      </w:r>
      <w:r>
        <w:rPr>
          <w:rFonts w:asciiTheme="minorHAnsi" w:hAnsiTheme="minorHAnsi" w:cstheme="minorBidi"/>
        </w:rPr>
        <w:t xml:space="preserve"> (</w:t>
      </w:r>
      <w:r w:rsidRPr="490A73E8">
        <w:rPr>
          <w:rFonts w:asciiTheme="minorHAnsi" w:hAnsiTheme="minorHAnsi" w:cstheme="minorBidi"/>
        </w:rPr>
        <w:t>er</w:t>
      </w:r>
      <w:r>
        <w:rPr>
          <w:rFonts w:asciiTheme="minorHAnsi" w:hAnsiTheme="minorHAnsi" w:cstheme="minorBidi"/>
        </w:rPr>
        <w:t>andid</w:t>
      </w:r>
      <w:r w:rsidRPr="490A73E8">
        <w:rPr>
          <w:rFonts w:asciiTheme="minorHAnsi" w:hAnsiTheme="minorHAnsi" w:cstheme="minorBidi"/>
        </w:rPr>
        <w:t xml:space="preserve"> ehitusseadustiku aluse</w:t>
      </w:r>
      <w:r>
        <w:rPr>
          <w:rFonts w:asciiTheme="minorHAnsi" w:hAnsiTheme="minorHAnsi" w:cstheme="minorBidi"/>
        </w:rPr>
        <w:t xml:space="preserve"> ja</w:t>
      </w:r>
      <w:r w:rsidRPr="490A73E8">
        <w:rPr>
          <w:rFonts w:asciiTheme="minorHAnsi" w:hAnsiTheme="minorHAnsi" w:cstheme="minorBidi"/>
        </w:rPr>
        <w:t>, er</w:t>
      </w:r>
      <w:r>
        <w:rPr>
          <w:rFonts w:asciiTheme="minorHAnsi" w:hAnsiTheme="minorHAnsi" w:cstheme="minorBidi"/>
        </w:rPr>
        <w:t>andid</w:t>
      </w:r>
      <w:r w:rsidRPr="490A73E8">
        <w:rPr>
          <w:rFonts w:asciiTheme="minorHAnsi" w:hAnsiTheme="minorHAnsi" w:cstheme="minorBidi"/>
        </w:rPr>
        <w:t xml:space="preserve"> relvajõudude erihoonetele</w:t>
      </w:r>
      <w:r>
        <w:rPr>
          <w:rFonts w:asciiTheme="minorHAnsi" w:hAnsiTheme="minorHAnsi" w:cstheme="minorBidi"/>
        </w:rPr>
        <w:t>)</w:t>
      </w:r>
      <w:r w:rsidRPr="490A73E8">
        <w:rPr>
          <w:rFonts w:asciiTheme="minorHAnsi" w:hAnsiTheme="minorHAnsi" w:cstheme="minorBidi"/>
        </w:rPr>
        <w:t>. Uue punktina sätestatakse er</w:t>
      </w:r>
      <w:r>
        <w:rPr>
          <w:rFonts w:asciiTheme="minorHAnsi" w:hAnsiTheme="minorHAnsi" w:cstheme="minorBidi"/>
        </w:rPr>
        <w:t>andid</w:t>
      </w:r>
      <w:r w:rsidRPr="490A73E8">
        <w:rPr>
          <w:rFonts w:asciiTheme="minorHAnsi" w:hAnsiTheme="minorHAnsi" w:cstheme="minorBidi"/>
        </w:rPr>
        <w:t xml:space="preserve"> sotsiaalhoonetele ja </w:t>
      </w:r>
      <w:r>
        <w:rPr>
          <w:rFonts w:asciiTheme="minorHAnsi" w:hAnsiTheme="minorHAnsi" w:cstheme="minorBidi"/>
        </w:rPr>
        <w:t>-</w:t>
      </w:r>
      <w:r w:rsidRPr="490A73E8">
        <w:rPr>
          <w:rFonts w:asciiTheme="minorHAnsi" w:hAnsiTheme="minorHAnsi" w:cstheme="minorBidi"/>
        </w:rPr>
        <w:t xml:space="preserve">eluruumidele </w:t>
      </w:r>
      <w:r>
        <w:rPr>
          <w:rFonts w:asciiTheme="minorHAnsi" w:hAnsiTheme="minorHAnsi" w:cstheme="minorBidi"/>
        </w:rPr>
        <w:t xml:space="preserve">puhuks, </w:t>
      </w:r>
      <w:r w:rsidRPr="490A73E8">
        <w:rPr>
          <w:rFonts w:asciiTheme="minorHAnsi" w:hAnsiTheme="minorHAnsi" w:cstheme="minorBidi"/>
        </w:rPr>
        <w:t xml:space="preserve"> kui renoveerimine toob kaasa üüritõusu ja mõjub negatiivselt energiaostuvõimetusele.</w:t>
      </w:r>
      <w:r>
        <w:rPr>
          <w:rFonts w:asciiTheme="minorHAnsi" w:hAnsiTheme="minorHAnsi" w:cstheme="minorBidi"/>
        </w:rPr>
        <w:t xml:space="preserve"> </w:t>
      </w:r>
    </w:p>
    <w:p w14:paraId="1116FA76" w14:textId="77777777" w:rsidR="00B731C3" w:rsidRDefault="00B731C3" w:rsidP="00B731C3">
      <w:pPr>
        <w:pStyle w:val="muudetavtekst"/>
        <w:rPr>
          <w:rFonts w:asciiTheme="minorHAnsi" w:hAnsiTheme="minorHAnsi" w:cstheme="minorBidi"/>
        </w:rPr>
      </w:pPr>
    </w:p>
    <w:p w14:paraId="39932CB3" w14:textId="77777777" w:rsidR="00B731C3" w:rsidRPr="0074183B" w:rsidRDefault="00B731C3" w:rsidP="00B731C3">
      <w:pPr>
        <w:pStyle w:val="muudetavtekst"/>
        <w:rPr>
          <w:rFonts w:asciiTheme="minorHAnsi" w:hAnsiTheme="minorHAnsi" w:cstheme="minorBidi"/>
          <w:u w:val="single"/>
        </w:rPr>
      </w:pPr>
      <w:r w:rsidRPr="0074183B">
        <w:rPr>
          <w:rFonts w:asciiTheme="minorHAnsi" w:hAnsiTheme="minorHAnsi" w:cstheme="minorBidi"/>
          <w:u w:val="single"/>
        </w:rPr>
        <w:t>Sotsiaaleluruumid</w:t>
      </w:r>
    </w:p>
    <w:p w14:paraId="5E26B2D5" w14:textId="77777777" w:rsidR="00B731C3" w:rsidRDefault="00B731C3" w:rsidP="00B731C3">
      <w:pPr>
        <w:pStyle w:val="muudetavtekst"/>
        <w:rPr>
          <w:rFonts w:asciiTheme="minorHAnsi" w:hAnsiTheme="minorHAnsi" w:cstheme="minorBidi"/>
        </w:rPr>
      </w:pPr>
      <w:r w:rsidRPr="005106DA">
        <w:rPr>
          <w:rFonts w:asciiTheme="minorHAnsi" w:hAnsiTheme="minorHAnsi" w:cstheme="minorBidi"/>
        </w:rPr>
        <w:t xml:space="preserve">Eestis on sotsiaaleluruum </w:t>
      </w:r>
      <w:r>
        <w:rPr>
          <w:rFonts w:asciiTheme="minorHAnsi" w:hAnsiTheme="minorHAnsi" w:cstheme="minorBidi"/>
        </w:rPr>
        <w:t>määratletud s</w:t>
      </w:r>
      <w:r w:rsidRPr="005106DA">
        <w:rPr>
          <w:rFonts w:asciiTheme="minorHAnsi" w:hAnsiTheme="minorHAnsi" w:cstheme="minorBidi"/>
        </w:rPr>
        <w:t>otsiaalhoolekande seadus</w:t>
      </w:r>
      <w:r>
        <w:rPr>
          <w:rFonts w:asciiTheme="minorHAnsi" w:hAnsiTheme="minorHAnsi" w:cstheme="minorBidi"/>
        </w:rPr>
        <w:t>e</w:t>
      </w:r>
      <w:r>
        <w:rPr>
          <w:rStyle w:val="Allmrkuseviide"/>
          <w:rFonts w:asciiTheme="minorHAnsi" w:hAnsiTheme="minorHAnsi" w:cstheme="minorBidi"/>
        </w:rPr>
        <w:footnoteReference w:id="45"/>
      </w:r>
      <w:r w:rsidRPr="005106DA">
        <w:rPr>
          <w:rFonts w:asciiTheme="minorHAnsi" w:hAnsiTheme="minorHAnsi" w:cstheme="minorBidi"/>
        </w:rPr>
        <w:t xml:space="preserve"> §</w:t>
      </w:r>
      <w:r>
        <w:rPr>
          <w:rFonts w:asciiTheme="minorHAnsi" w:hAnsiTheme="minorHAnsi" w:cstheme="minorBidi"/>
        </w:rPr>
        <w:t>-s</w:t>
      </w:r>
      <w:r w:rsidRPr="005106DA">
        <w:rPr>
          <w:rFonts w:asciiTheme="minorHAnsi" w:hAnsiTheme="minorHAnsi" w:cstheme="minorBidi"/>
        </w:rPr>
        <w:t xml:space="preserve"> 14, mis sätestab</w:t>
      </w:r>
      <w:r>
        <w:rPr>
          <w:rFonts w:asciiTheme="minorHAnsi" w:hAnsiTheme="minorHAnsi" w:cstheme="minorBidi"/>
        </w:rPr>
        <w:t>, et s</w:t>
      </w:r>
      <w:r w:rsidRPr="005106DA">
        <w:rPr>
          <w:rFonts w:asciiTheme="minorHAnsi" w:hAnsiTheme="minorHAnsi" w:cstheme="minorBidi"/>
        </w:rPr>
        <w:t>otsiaaleluruum on kohalikule omavalitsusele kuuluv üürieluruum, mida kasutatakse sotsiaalteenusena ajutise eluaseme pakkumiseks.</w:t>
      </w:r>
      <w:r>
        <w:rPr>
          <w:rFonts w:asciiTheme="minorHAnsi" w:hAnsiTheme="minorHAnsi" w:cstheme="minorBidi"/>
        </w:rPr>
        <w:t xml:space="preserve"> Sotsiaaleluruumi</w:t>
      </w:r>
      <w:r w:rsidRPr="005106DA">
        <w:rPr>
          <w:rFonts w:asciiTheme="minorHAnsi" w:hAnsiTheme="minorHAnsi" w:cstheme="minorBidi"/>
        </w:rPr>
        <w:t xml:space="preserve"> eesmärk on tagada </w:t>
      </w:r>
      <w:r w:rsidRPr="005106DA">
        <w:rPr>
          <w:rFonts w:asciiTheme="minorHAnsi" w:hAnsiTheme="minorHAnsi" w:cstheme="minorBidi"/>
        </w:rPr>
        <w:lastRenderedPageBreak/>
        <w:t xml:space="preserve">elamispind isikutele, kes on sattunud majanduslikesse või sotsiaalsetesse raskustesse </w:t>
      </w:r>
      <w:r>
        <w:rPr>
          <w:rFonts w:asciiTheme="minorHAnsi" w:hAnsiTheme="minorHAnsi" w:cstheme="minorBidi"/>
        </w:rPr>
        <w:t>ning</w:t>
      </w:r>
      <w:r w:rsidRPr="005106DA">
        <w:rPr>
          <w:rFonts w:asciiTheme="minorHAnsi" w:hAnsiTheme="minorHAnsi" w:cstheme="minorBidi"/>
        </w:rPr>
        <w:t xml:space="preserve"> vajavad tuge iseseisva toimetuleku saavutamiseks.</w:t>
      </w:r>
    </w:p>
    <w:p w14:paraId="0DA76D20" w14:textId="77777777" w:rsidR="00B731C3" w:rsidRDefault="00B731C3" w:rsidP="00B731C3">
      <w:pPr>
        <w:pStyle w:val="muudetavtekst"/>
        <w:rPr>
          <w:rFonts w:asciiTheme="minorHAnsi" w:hAnsiTheme="minorHAnsi" w:cstheme="minorBidi"/>
        </w:rPr>
      </w:pPr>
      <w:r w:rsidRPr="005106DA">
        <w:rPr>
          <w:rFonts w:asciiTheme="minorHAnsi" w:hAnsiTheme="minorHAnsi" w:cstheme="minorBidi"/>
        </w:rPr>
        <w:t>Sotsiaaleluruumide peamised põhimõtted</w:t>
      </w:r>
      <w:r>
        <w:rPr>
          <w:rFonts w:asciiTheme="minorHAnsi" w:hAnsiTheme="minorHAnsi" w:cstheme="minorBidi"/>
        </w:rPr>
        <w:t>: a</w:t>
      </w:r>
      <w:r w:rsidRPr="005106DA">
        <w:rPr>
          <w:rFonts w:asciiTheme="minorHAnsi" w:hAnsiTheme="minorHAnsi" w:cstheme="minorBidi"/>
        </w:rPr>
        <w:t>jutisus – neid ei anta eluaegseks kasutamiseks, vaid seni, kuni inimene suudab leida iseseisva lahenduse</w:t>
      </w:r>
      <w:r>
        <w:rPr>
          <w:rFonts w:asciiTheme="minorHAnsi" w:hAnsiTheme="minorHAnsi" w:cstheme="minorBidi"/>
        </w:rPr>
        <w:t>; s</w:t>
      </w:r>
      <w:r w:rsidRPr="005106DA">
        <w:rPr>
          <w:rFonts w:asciiTheme="minorHAnsi" w:hAnsiTheme="minorHAnsi" w:cstheme="minorBidi"/>
        </w:rPr>
        <w:t>ihtgrupp – abivajajad, näiteks väikese sissetulekuga pered, töötud, terviseprobleemidega inimesed, kodutud, lastega pered, vägivallaohvrid jms</w:t>
      </w:r>
      <w:r>
        <w:rPr>
          <w:rFonts w:asciiTheme="minorHAnsi" w:hAnsiTheme="minorHAnsi" w:cstheme="minorBidi"/>
        </w:rPr>
        <w:t>; o</w:t>
      </w:r>
      <w:r w:rsidRPr="005106DA">
        <w:rPr>
          <w:rFonts w:asciiTheme="minorHAnsi" w:hAnsiTheme="minorHAnsi" w:cstheme="minorBidi"/>
        </w:rPr>
        <w:t>mavalitsuse vastutus – kohalik omavalitsus otsustab, kellele ja millistel tingimustel eluruume eraldatakse</w:t>
      </w:r>
      <w:r>
        <w:rPr>
          <w:rFonts w:asciiTheme="minorHAnsi" w:hAnsiTheme="minorHAnsi" w:cstheme="minorBidi"/>
        </w:rPr>
        <w:t>; t</w:t>
      </w:r>
      <w:r w:rsidRPr="005106DA">
        <w:rPr>
          <w:rFonts w:asciiTheme="minorHAnsi" w:hAnsiTheme="minorHAnsi" w:cstheme="minorBidi"/>
        </w:rPr>
        <w:t>ingimused – üüri suurus ja muud tingimused määratakse kindlaks omavalitsuse määrustega.</w:t>
      </w:r>
    </w:p>
    <w:p w14:paraId="6B120CA2" w14:textId="77777777" w:rsidR="00B731C3" w:rsidRDefault="00B731C3" w:rsidP="00B731C3">
      <w:pPr>
        <w:pStyle w:val="muudetavtekst"/>
        <w:rPr>
          <w:rFonts w:asciiTheme="minorHAnsi" w:hAnsiTheme="minorHAnsi" w:cstheme="minorBidi"/>
        </w:rPr>
      </w:pPr>
      <w:r>
        <w:rPr>
          <w:rFonts w:asciiTheme="minorHAnsi" w:hAnsiTheme="minorHAnsi" w:cstheme="minorBidi"/>
        </w:rPr>
        <w:t>Baastaseme määramisel võetakse arvesse s</w:t>
      </w:r>
      <w:r w:rsidRPr="009E7332">
        <w:rPr>
          <w:rFonts w:asciiTheme="minorHAnsi" w:hAnsiTheme="minorHAnsi" w:cstheme="minorBidi"/>
        </w:rPr>
        <w:t xml:space="preserve">otsiaaleluruumid </w:t>
      </w:r>
      <w:r>
        <w:rPr>
          <w:rFonts w:asciiTheme="minorHAnsi" w:hAnsiTheme="minorHAnsi" w:cstheme="minorBidi"/>
        </w:rPr>
        <w:t xml:space="preserve">hoonetes </w:t>
      </w:r>
      <w:r w:rsidRPr="009E7332">
        <w:rPr>
          <w:rFonts w:asciiTheme="minorHAnsi" w:hAnsiTheme="minorHAnsi" w:cstheme="minorBidi"/>
        </w:rPr>
        <w:t>(kortermajad ja üksikelamud)</w:t>
      </w:r>
      <w:r>
        <w:rPr>
          <w:rFonts w:asciiTheme="minorHAnsi" w:hAnsiTheme="minorHAnsi" w:cstheme="minorBidi"/>
        </w:rPr>
        <w:t xml:space="preserve">, mille </w:t>
      </w:r>
      <w:r w:rsidRPr="009E7332">
        <w:rPr>
          <w:rFonts w:asciiTheme="minorHAnsi" w:hAnsiTheme="minorHAnsi" w:cstheme="minorBidi"/>
        </w:rPr>
        <w:t>kasulik üldpõrandapin</w:t>
      </w:r>
      <w:r>
        <w:rPr>
          <w:rFonts w:asciiTheme="minorHAnsi" w:hAnsiTheme="minorHAnsi" w:cstheme="minorBidi"/>
        </w:rPr>
        <w:t>d on</w:t>
      </w:r>
      <w:r w:rsidRPr="009E7332">
        <w:rPr>
          <w:rFonts w:asciiTheme="minorHAnsi" w:hAnsiTheme="minorHAnsi" w:cstheme="minorBidi"/>
        </w:rPr>
        <w:t xml:space="preserve"> üle 250 m2, mis on avaliku sektori asutuste omanduses</w:t>
      </w:r>
      <w:r>
        <w:rPr>
          <w:rFonts w:asciiTheme="minorHAnsi" w:hAnsiTheme="minorHAnsi" w:cstheme="minorBidi"/>
        </w:rPr>
        <w:t xml:space="preserve"> j</w:t>
      </w:r>
      <w:r w:rsidRPr="009E7332">
        <w:rPr>
          <w:rFonts w:asciiTheme="minorHAnsi" w:hAnsiTheme="minorHAnsi" w:cstheme="minorBidi"/>
        </w:rPr>
        <w:t>a mis 1. jaanuaril 2024 ei vasta</w:t>
      </w:r>
      <w:r>
        <w:rPr>
          <w:rFonts w:asciiTheme="minorHAnsi" w:hAnsiTheme="minorHAnsi" w:cstheme="minorBidi"/>
        </w:rPr>
        <w:t>nud</w:t>
      </w:r>
      <w:r w:rsidRPr="009E7332">
        <w:rPr>
          <w:rFonts w:asciiTheme="minorHAnsi" w:hAnsiTheme="minorHAnsi" w:cstheme="minorBidi"/>
        </w:rPr>
        <w:t xml:space="preserve"> </w:t>
      </w:r>
      <w:r>
        <w:rPr>
          <w:rFonts w:asciiTheme="minorHAnsi" w:hAnsiTheme="minorHAnsi" w:cstheme="minorBidi"/>
        </w:rPr>
        <w:t>energiatõhususe miinimumnõuetele.</w:t>
      </w:r>
    </w:p>
    <w:p w14:paraId="2E7BA2E8" w14:textId="77777777" w:rsidR="00B731C3" w:rsidRDefault="00B731C3" w:rsidP="00B731C3">
      <w:pPr>
        <w:pStyle w:val="muudetavtekst"/>
        <w:rPr>
          <w:rFonts w:asciiTheme="minorHAnsi" w:hAnsiTheme="minorHAnsi" w:cstheme="minorBidi"/>
        </w:rPr>
      </w:pPr>
      <w:r w:rsidRPr="002B2E13">
        <w:rPr>
          <w:rFonts w:asciiTheme="minorHAnsi" w:hAnsiTheme="minorHAnsi" w:cstheme="minorBidi"/>
        </w:rPr>
        <w:t xml:space="preserve">Keskvalitsusel on selliseid eluhooneid </w:t>
      </w:r>
      <w:r>
        <w:rPr>
          <w:rFonts w:asciiTheme="minorHAnsi" w:hAnsiTheme="minorHAnsi" w:cstheme="minorBidi"/>
        </w:rPr>
        <w:t>kaks</w:t>
      </w:r>
      <w:r w:rsidRPr="002B2E13">
        <w:rPr>
          <w:rFonts w:asciiTheme="minorHAnsi" w:hAnsiTheme="minorHAnsi" w:cstheme="minorBidi"/>
        </w:rPr>
        <w:t xml:space="preserve"> ja kohalikul omavalitsusel u 200.</w:t>
      </w:r>
    </w:p>
    <w:p w14:paraId="58256217" w14:textId="77777777" w:rsidR="00B731C3" w:rsidRDefault="00B731C3" w:rsidP="00B731C3">
      <w:pPr>
        <w:pStyle w:val="muudetavtekst"/>
        <w:rPr>
          <w:rFonts w:asciiTheme="minorHAnsi" w:hAnsiTheme="minorHAnsi" w:cstheme="minorHAnsi"/>
        </w:rPr>
      </w:pPr>
    </w:p>
    <w:p w14:paraId="2D30F4F5" w14:textId="77777777" w:rsidR="00B731C3" w:rsidRDefault="00B731C3" w:rsidP="00B731C3">
      <w:pPr>
        <w:pStyle w:val="muudetavtekst"/>
        <w:rPr>
          <w:rFonts w:asciiTheme="minorHAnsi" w:hAnsiTheme="minorHAnsi" w:cstheme="minorHAnsi"/>
        </w:rPr>
      </w:pPr>
      <w:r>
        <w:rPr>
          <w:rFonts w:asciiTheme="minorHAnsi" w:hAnsiTheme="minorHAnsi" w:cstheme="minorHAnsi"/>
        </w:rPr>
        <w:t>Direktiiv annab võimaluse v</w:t>
      </w:r>
      <w:r w:rsidRPr="009E41D3">
        <w:rPr>
          <w:rFonts w:asciiTheme="minorHAnsi" w:hAnsiTheme="minorHAnsi" w:cstheme="minorHAnsi"/>
        </w:rPr>
        <w:t>abastada</w:t>
      </w:r>
      <w:r>
        <w:rPr>
          <w:rFonts w:asciiTheme="minorHAnsi" w:hAnsiTheme="minorHAnsi" w:cstheme="minorHAnsi"/>
        </w:rPr>
        <w:t xml:space="preserve"> avaliku sektori asutuse omandis</w:t>
      </w:r>
      <w:r w:rsidRPr="009E41D3">
        <w:rPr>
          <w:rFonts w:asciiTheme="minorHAnsi" w:hAnsiTheme="minorHAnsi" w:cstheme="minorHAnsi"/>
        </w:rPr>
        <w:t xml:space="preserve"> sotsiaaleluruumid</w:t>
      </w:r>
      <w:r>
        <w:rPr>
          <w:rFonts w:asciiTheme="minorHAnsi" w:hAnsiTheme="minorHAnsi" w:cstheme="minorHAnsi"/>
        </w:rPr>
        <w:t xml:space="preserve">ega hoone </w:t>
      </w:r>
      <w:r w:rsidRPr="009E41D3">
        <w:rPr>
          <w:rFonts w:asciiTheme="minorHAnsi" w:hAnsiTheme="minorHAnsi" w:cstheme="minorHAnsi"/>
        </w:rPr>
        <w:t>renoveerimiskohustusest, kui renoveerimine tooks sotsiaaleluruumides elavatele inimestele kaasa üüritõusu, mis ei piirdu energiaarvetelt saadava majandusliku kokkuhoiuga.</w:t>
      </w:r>
    </w:p>
    <w:p w14:paraId="4A32245C" w14:textId="77777777" w:rsidR="00B731C3" w:rsidRDefault="00B731C3" w:rsidP="00B731C3">
      <w:pPr>
        <w:pStyle w:val="muudetavtekst"/>
        <w:rPr>
          <w:rFonts w:asciiTheme="minorHAnsi" w:hAnsiTheme="minorHAnsi" w:cstheme="minorHAnsi"/>
        </w:rPr>
      </w:pPr>
    </w:p>
    <w:p w14:paraId="00A9B099" w14:textId="77777777" w:rsidR="00B731C3" w:rsidRDefault="00B731C3" w:rsidP="00B731C3">
      <w:pPr>
        <w:pStyle w:val="muudetavtekst"/>
        <w:rPr>
          <w:rFonts w:asciiTheme="minorHAnsi" w:hAnsiTheme="minorHAnsi" w:cstheme="minorHAnsi"/>
        </w:rPr>
      </w:pPr>
      <w:r>
        <w:rPr>
          <w:rFonts w:asciiTheme="minorHAnsi" w:hAnsiTheme="minorHAnsi" w:cstheme="minorHAnsi"/>
        </w:rPr>
        <w:t>S</w:t>
      </w:r>
      <w:r w:rsidRPr="009E41D3">
        <w:rPr>
          <w:rFonts w:asciiTheme="minorHAnsi" w:hAnsiTheme="minorHAnsi" w:cstheme="minorHAnsi"/>
        </w:rPr>
        <w:t>otsiaaleluruumide</w:t>
      </w:r>
      <w:r>
        <w:rPr>
          <w:rFonts w:asciiTheme="minorHAnsi" w:hAnsiTheme="minorHAnsi" w:cstheme="minorHAnsi"/>
        </w:rPr>
        <w:t>ga hoones</w:t>
      </w:r>
      <w:r w:rsidRPr="009E41D3">
        <w:rPr>
          <w:rFonts w:asciiTheme="minorHAnsi" w:hAnsiTheme="minorHAnsi" w:cstheme="minorHAnsi"/>
        </w:rPr>
        <w:t xml:space="preserve"> </w:t>
      </w:r>
      <w:r>
        <w:rPr>
          <w:rFonts w:asciiTheme="minorHAnsi" w:hAnsiTheme="minorHAnsi" w:cstheme="minorHAnsi"/>
        </w:rPr>
        <w:t xml:space="preserve">tuleb hinnata </w:t>
      </w:r>
      <w:r w:rsidRPr="009E41D3">
        <w:rPr>
          <w:rFonts w:asciiTheme="minorHAnsi" w:hAnsiTheme="minorHAnsi" w:cstheme="minorHAnsi"/>
        </w:rPr>
        <w:t xml:space="preserve">renoveerimisega saavutatavat energiakulude vähenemist (võttes arvesse energiasäästu ja energiahindade </w:t>
      </w:r>
      <w:r>
        <w:rPr>
          <w:rFonts w:asciiTheme="minorHAnsi" w:hAnsiTheme="minorHAnsi" w:cstheme="minorHAnsi"/>
        </w:rPr>
        <w:t>kujunemist</w:t>
      </w:r>
      <w:r w:rsidRPr="009E41D3">
        <w:rPr>
          <w:rFonts w:asciiTheme="minorHAnsi" w:hAnsiTheme="minorHAnsi" w:cstheme="minorHAnsi"/>
        </w:rPr>
        <w:t>) ning kaalu</w:t>
      </w:r>
      <w:r>
        <w:rPr>
          <w:rFonts w:asciiTheme="minorHAnsi" w:hAnsiTheme="minorHAnsi" w:cstheme="minorHAnsi"/>
        </w:rPr>
        <w:t xml:space="preserve">takse, </w:t>
      </w:r>
      <w:r w:rsidRPr="009E41D3">
        <w:rPr>
          <w:rFonts w:asciiTheme="minorHAnsi" w:hAnsiTheme="minorHAnsi" w:cstheme="minorHAnsi"/>
        </w:rPr>
        <w:t xml:space="preserve">kas see on renoveerimiskulude katmiseks piisav. Kui energiaarvetelt saadav majanduslik kokkuhoid ei kata renoveerimiskulusid, </w:t>
      </w:r>
      <w:r>
        <w:rPr>
          <w:rFonts w:asciiTheme="minorHAnsi" w:hAnsiTheme="minorHAnsi" w:cstheme="minorHAnsi"/>
        </w:rPr>
        <w:t xml:space="preserve">tuleb hinnata </w:t>
      </w:r>
      <w:r w:rsidRPr="009E41D3">
        <w:rPr>
          <w:rFonts w:asciiTheme="minorHAnsi" w:hAnsiTheme="minorHAnsi" w:cstheme="minorHAnsi"/>
        </w:rPr>
        <w:t>muid võimalusi, et vältida renoveerimiskulude tervikuna ülekandumist elanikele, näiteks kulude osalist rahastamist avaliku või erasektori rahastamisvahenditest, s</w:t>
      </w:r>
      <w:r>
        <w:rPr>
          <w:rFonts w:asciiTheme="minorHAnsi" w:hAnsiTheme="minorHAnsi" w:cstheme="minorHAnsi"/>
        </w:rPr>
        <w:t>h</w:t>
      </w:r>
      <w:r w:rsidRPr="009E41D3">
        <w:rPr>
          <w:rFonts w:asciiTheme="minorHAnsi" w:hAnsiTheme="minorHAnsi" w:cstheme="minorHAnsi"/>
        </w:rPr>
        <w:t xml:space="preserve"> kliimameetmete sotsiaalfondist rahastatavate meetmete ja investeeringute kaudu. Seda tuleks teha olukorras, kus üüri küsitakse proportsionaalselt eluruumi väärtusega ja eluruumi renoveerimise (sh energiatõhususe parandamise) kulud kanduvad üüri suurenemise kaudu üle leibkondadele</w:t>
      </w:r>
      <w:r>
        <w:rPr>
          <w:rFonts w:asciiTheme="minorHAnsi" w:hAnsiTheme="minorHAnsi" w:cstheme="minorHAnsi"/>
        </w:rPr>
        <w:t>.</w:t>
      </w:r>
    </w:p>
    <w:p w14:paraId="08E88286" w14:textId="77777777" w:rsidR="00B731C3" w:rsidRPr="009E41D3" w:rsidRDefault="00B731C3" w:rsidP="00B731C3">
      <w:pPr>
        <w:pStyle w:val="muudetavtekst"/>
        <w:rPr>
          <w:rFonts w:asciiTheme="minorHAnsi" w:hAnsiTheme="minorHAnsi" w:cstheme="minorHAnsi"/>
        </w:rPr>
      </w:pPr>
    </w:p>
    <w:p w14:paraId="5AE41736" w14:textId="77777777" w:rsidR="00B731C3" w:rsidRPr="009E41D3" w:rsidRDefault="00B731C3" w:rsidP="00B731C3">
      <w:pPr>
        <w:pStyle w:val="muudetavtekst"/>
        <w:rPr>
          <w:rFonts w:asciiTheme="minorHAnsi" w:hAnsiTheme="minorHAnsi" w:cstheme="minorHAnsi"/>
        </w:rPr>
      </w:pPr>
      <w:r w:rsidRPr="009E41D3">
        <w:rPr>
          <w:rFonts w:asciiTheme="minorHAnsi" w:hAnsiTheme="minorHAnsi" w:cstheme="minorHAnsi"/>
        </w:rPr>
        <w:t xml:space="preserve">Kuluneutraalsus tähendab, et hoone renoveerimiseks vajalik investeering on sama suur või väiksem kui hoone renoveerimisjärgse olelusringi jooksul eeldatavasti saadava kasu rahaline ekvivalent. Kuluneutraalsuse hindamisel </w:t>
      </w:r>
      <w:r>
        <w:rPr>
          <w:rFonts w:asciiTheme="minorHAnsi" w:hAnsiTheme="minorHAnsi" w:cstheme="minorHAnsi"/>
        </w:rPr>
        <w:t xml:space="preserve">saab </w:t>
      </w:r>
      <w:r w:rsidRPr="009E41D3">
        <w:rPr>
          <w:rFonts w:asciiTheme="minorHAnsi" w:hAnsiTheme="minorHAnsi" w:cstheme="minorHAnsi"/>
        </w:rPr>
        <w:t>arvesse võtta ka renoveerimisjärgseid väiksemaid hoolduskulusid ja paremaid elamistingimusi.</w:t>
      </w:r>
      <w:r>
        <w:rPr>
          <w:rFonts w:asciiTheme="minorHAnsi" w:hAnsiTheme="minorHAnsi" w:cstheme="minorHAnsi"/>
        </w:rPr>
        <w:t xml:space="preserve"> </w:t>
      </w:r>
      <w:r w:rsidRPr="009E41D3">
        <w:rPr>
          <w:rFonts w:asciiTheme="minorHAnsi" w:hAnsiTheme="minorHAnsi" w:cstheme="minorHAnsi"/>
        </w:rPr>
        <w:t>Selleks</w:t>
      </w:r>
      <w:r>
        <w:rPr>
          <w:rFonts w:asciiTheme="minorHAnsi" w:hAnsiTheme="minorHAnsi" w:cstheme="minorHAnsi"/>
        </w:rPr>
        <w:t>,</w:t>
      </w:r>
      <w:r w:rsidRPr="009E41D3">
        <w:rPr>
          <w:rFonts w:asciiTheme="minorHAnsi" w:hAnsiTheme="minorHAnsi" w:cstheme="minorHAnsi"/>
        </w:rPr>
        <w:t xml:space="preserve"> et hinnata</w:t>
      </w:r>
      <w:r>
        <w:rPr>
          <w:rFonts w:asciiTheme="minorHAnsi" w:hAnsiTheme="minorHAnsi" w:cstheme="minorHAnsi"/>
        </w:rPr>
        <w:t xml:space="preserve"> kuluneutraalsust</w:t>
      </w:r>
      <w:r w:rsidRPr="009E41D3">
        <w:rPr>
          <w:rFonts w:asciiTheme="minorHAnsi" w:hAnsiTheme="minorHAnsi" w:cstheme="minorHAnsi"/>
        </w:rPr>
        <w:t xml:space="preserve">, </w:t>
      </w:r>
      <w:r>
        <w:rPr>
          <w:rFonts w:asciiTheme="minorHAnsi" w:hAnsiTheme="minorHAnsi" w:cstheme="minorHAnsi"/>
        </w:rPr>
        <w:t xml:space="preserve">töötab Kliimaministeerium välja </w:t>
      </w:r>
      <w:r w:rsidRPr="009E41D3">
        <w:rPr>
          <w:rFonts w:asciiTheme="minorHAnsi" w:hAnsiTheme="minorHAnsi" w:cstheme="minorHAnsi"/>
        </w:rPr>
        <w:t>asjakohase metoodika, kus on täpsustatud, kuidas teha kindlaks arvutamiseks vajalikud näitajad, nagu renoveerimiskulud, diskontomäärad, tulevased energiahinnad, tarbimine enne ja pärast renoveerimist jne.</w:t>
      </w:r>
    </w:p>
    <w:p w14:paraId="7B5B515C" w14:textId="77777777" w:rsidR="00B731C3" w:rsidRDefault="00B731C3" w:rsidP="00B731C3">
      <w:pPr>
        <w:pStyle w:val="muudetavtekst"/>
      </w:pPr>
    </w:p>
    <w:p w14:paraId="794D3DBD" w14:textId="77777777" w:rsidR="00B731C3" w:rsidRPr="00B74F57" w:rsidRDefault="00B731C3" w:rsidP="00B731C3">
      <w:pPr>
        <w:pStyle w:val="muudetavtekst"/>
        <w:rPr>
          <w:rFonts w:asciiTheme="minorHAnsi" w:hAnsiTheme="minorHAnsi" w:cstheme="minorHAnsi"/>
        </w:rPr>
      </w:pPr>
      <w:r w:rsidRPr="00B74F57">
        <w:rPr>
          <w:rFonts w:asciiTheme="minorHAnsi" w:hAnsiTheme="minorHAnsi" w:cstheme="minorHAnsi"/>
        </w:rPr>
        <w:t>Kuluneutraalsuse põhimõtet võib pidada järgituks, kui on täidetud järgmine tingimus:</w:t>
      </w:r>
    </w:p>
    <w:p w14:paraId="23467DAA" w14:textId="77777777" w:rsidR="00B731C3" w:rsidRDefault="00B731C3" w:rsidP="00B731C3">
      <w:pPr>
        <w:pStyle w:val="muudetavtekst"/>
        <w:rPr>
          <w:rFonts w:asciiTheme="minorHAnsi" w:hAnsiTheme="minorHAnsi" w:cstheme="minorHAnsi"/>
        </w:rPr>
      </w:pPr>
      <w:r w:rsidRPr="00906D69">
        <w:rPr>
          <w:rFonts w:asciiTheme="minorHAnsi" w:hAnsiTheme="minorHAnsi" w:cstheme="minorHAnsi"/>
          <w:noProof/>
        </w:rPr>
        <w:drawing>
          <wp:inline distT="0" distB="0" distL="0" distR="0" wp14:anchorId="737A894A" wp14:editId="3EF1C229">
            <wp:extent cx="4134062" cy="730288"/>
            <wp:effectExtent l="0" t="0" r="0" b="0"/>
            <wp:docPr id="1881692651" name="Pilt 1" descr="Pilt, millel on kujutatud tekst, Font, järjekord, kuvatõmmi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92651" name="Pilt 1" descr="Pilt, millel on kujutatud tekst, Font, järjekord, kuvatõmmis&#10;&#10;Kirjeldus on genereeritud automaatselt"/>
                    <pic:cNvPicPr/>
                  </pic:nvPicPr>
                  <pic:blipFill>
                    <a:blip r:embed="rId25"/>
                    <a:stretch>
                      <a:fillRect/>
                    </a:stretch>
                  </pic:blipFill>
                  <pic:spPr>
                    <a:xfrm>
                      <a:off x="0" y="0"/>
                      <a:ext cx="4134062" cy="730288"/>
                    </a:xfrm>
                    <a:prstGeom prst="rect">
                      <a:avLst/>
                    </a:prstGeom>
                  </pic:spPr>
                </pic:pic>
              </a:graphicData>
            </a:graphic>
          </wp:inline>
        </w:drawing>
      </w:r>
      <w:r>
        <w:rPr>
          <w:rFonts w:asciiTheme="minorHAnsi" w:hAnsiTheme="minorHAnsi" w:cstheme="minorHAnsi"/>
        </w:rPr>
        <w:t>,</w:t>
      </w:r>
    </w:p>
    <w:p w14:paraId="624F9BED" w14:textId="77777777" w:rsidR="00B731C3" w:rsidRPr="00B74F57" w:rsidRDefault="00B731C3" w:rsidP="00B731C3">
      <w:pPr>
        <w:pStyle w:val="muudetavtekst"/>
        <w:rPr>
          <w:rFonts w:asciiTheme="minorHAnsi" w:hAnsiTheme="minorHAnsi" w:cstheme="minorHAnsi"/>
        </w:rPr>
      </w:pPr>
      <w:r w:rsidRPr="00B74F57">
        <w:rPr>
          <w:rFonts w:asciiTheme="minorHAnsi" w:hAnsiTheme="minorHAnsi" w:cstheme="minorHAnsi"/>
        </w:rPr>
        <w:t>kus</w:t>
      </w:r>
    </w:p>
    <w:p w14:paraId="231DC3A4" w14:textId="77777777" w:rsidR="00B731C3" w:rsidRPr="00B74F57" w:rsidRDefault="00B731C3" w:rsidP="00B731C3">
      <w:pPr>
        <w:pStyle w:val="muudetavtekst"/>
        <w:rPr>
          <w:rFonts w:asciiTheme="minorHAnsi" w:hAnsiTheme="minorHAnsi" w:cstheme="minorHAnsi"/>
        </w:rPr>
      </w:pPr>
      <w:r w:rsidRPr="00B74F57">
        <w:rPr>
          <w:rFonts w:asciiTheme="minorHAnsi" w:hAnsiTheme="minorHAnsi" w:cstheme="minorHAnsi"/>
        </w:rPr>
        <w:t>RC</w:t>
      </w:r>
      <w:r>
        <w:rPr>
          <w:rFonts w:asciiTheme="minorHAnsi" w:hAnsiTheme="minorHAnsi" w:cstheme="minorHAnsi"/>
        </w:rPr>
        <w:t xml:space="preserve"> – </w:t>
      </w:r>
      <w:r w:rsidRPr="00B74F57">
        <w:rPr>
          <w:rFonts w:asciiTheme="minorHAnsi" w:hAnsiTheme="minorHAnsi" w:cstheme="minorHAnsi"/>
        </w:rPr>
        <w:t>hoone energiatõhusamaks renoveerimise kulud;</w:t>
      </w:r>
    </w:p>
    <w:p w14:paraId="47E73DAC" w14:textId="77777777" w:rsidR="00B731C3" w:rsidRPr="00B74F57" w:rsidRDefault="00B731C3" w:rsidP="00B731C3">
      <w:pPr>
        <w:pStyle w:val="muudetavtekst"/>
        <w:rPr>
          <w:rFonts w:asciiTheme="minorHAnsi" w:hAnsiTheme="minorHAnsi" w:cstheme="minorHAnsi"/>
        </w:rPr>
      </w:pPr>
      <w:r w:rsidRPr="00B74F57">
        <w:rPr>
          <w:rFonts w:asciiTheme="minorHAnsi" w:hAnsiTheme="minorHAnsi" w:cstheme="minorHAnsi"/>
        </w:rPr>
        <w:t>E</w:t>
      </w:r>
      <w:r>
        <w:rPr>
          <w:rFonts w:asciiTheme="minorHAnsi" w:hAnsiTheme="minorHAnsi" w:cstheme="minorHAnsi"/>
        </w:rPr>
        <w:t xml:space="preserve"> –</w:t>
      </w:r>
      <w:r w:rsidRPr="00B74F57">
        <w:rPr>
          <w:rFonts w:asciiTheme="minorHAnsi" w:hAnsiTheme="minorHAnsi" w:cstheme="minorHAnsi"/>
        </w:rPr>
        <w:t xml:space="preserve"> kogu energiaarve;</w:t>
      </w:r>
    </w:p>
    <w:p w14:paraId="0D35DA30" w14:textId="77777777" w:rsidR="00B731C3" w:rsidRPr="00B74F57" w:rsidRDefault="00B731C3" w:rsidP="00B731C3">
      <w:pPr>
        <w:pStyle w:val="muudetavtekst"/>
        <w:rPr>
          <w:rFonts w:asciiTheme="minorHAnsi" w:hAnsiTheme="minorHAnsi" w:cstheme="minorHAnsi"/>
        </w:rPr>
      </w:pPr>
      <w:r w:rsidRPr="00B74F57">
        <w:rPr>
          <w:rFonts w:asciiTheme="minorHAnsi" w:hAnsiTheme="minorHAnsi" w:cstheme="minorHAnsi"/>
        </w:rPr>
        <w:t>OC</w:t>
      </w:r>
      <w:r>
        <w:rPr>
          <w:rFonts w:asciiTheme="minorHAnsi" w:hAnsiTheme="minorHAnsi" w:cstheme="minorHAnsi"/>
        </w:rPr>
        <w:t xml:space="preserve"> –</w:t>
      </w:r>
      <w:r w:rsidRPr="00B74F57">
        <w:rPr>
          <w:rFonts w:asciiTheme="minorHAnsi" w:hAnsiTheme="minorHAnsi" w:cstheme="minorHAnsi"/>
        </w:rPr>
        <w:t xml:space="preserve"> muud kulud;</w:t>
      </w:r>
    </w:p>
    <w:p w14:paraId="660009B9" w14:textId="77777777" w:rsidR="00B731C3" w:rsidRPr="00B74F57" w:rsidRDefault="00B731C3" w:rsidP="00B731C3">
      <w:pPr>
        <w:pStyle w:val="muudetavtekst"/>
        <w:rPr>
          <w:rFonts w:asciiTheme="minorHAnsi" w:hAnsiTheme="minorHAnsi" w:cstheme="minorHAnsi"/>
        </w:rPr>
      </w:pPr>
      <w:r w:rsidRPr="00B74F57">
        <w:rPr>
          <w:rFonts w:asciiTheme="minorHAnsi" w:hAnsiTheme="minorHAnsi" w:cstheme="minorHAnsi"/>
        </w:rPr>
        <w:t>OB</w:t>
      </w:r>
      <w:r>
        <w:rPr>
          <w:rFonts w:asciiTheme="minorHAnsi" w:hAnsiTheme="minorHAnsi" w:cstheme="minorHAnsi"/>
        </w:rPr>
        <w:t xml:space="preserve"> –</w:t>
      </w:r>
      <w:r w:rsidRPr="00B74F57">
        <w:rPr>
          <w:rFonts w:asciiTheme="minorHAnsi" w:hAnsiTheme="minorHAnsi" w:cstheme="minorHAnsi"/>
        </w:rPr>
        <w:t xml:space="preserve"> muu kasu;</w:t>
      </w:r>
    </w:p>
    <w:p w14:paraId="2A81F771" w14:textId="77777777" w:rsidR="00B731C3" w:rsidRPr="00B74F57" w:rsidRDefault="00B731C3" w:rsidP="00B731C3">
      <w:pPr>
        <w:pStyle w:val="muudetavtekst"/>
        <w:rPr>
          <w:rFonts w:asciiTheme="minorHAnsi" w:hAnsiTheme="minorHAnsi" w:cstheme="minorHAnsi"/>
        </w:rPr>
      </w:pPr>
      <w:r w:rsidRPr="00B74F57">
        <w:rPr>
          <w:rFonts w:asciiTheme="minorHAnsi" w:hAnsiTheme="minorHAnsi" w:cstheme="minorHAnsi"/>
        </w:rPr>
        <w:t>Br</w:t>
      </w:r>
      <w:r>
        <w:rPr>
          <w:rFonts w:asciiTheme="minorHAnsi" w:hAnsiTheme="minorHAnsi" w:cstheme="minorHAnsi"/>
        </w:rPr>
        <w:t xml:space="preserve"> –</w:t>
      </w:r>
      <w:r w:rsidRPr="00B74F57">
        <w:rPr>
          <w:rFonts w:asciiTheme="minorHAnsi" w:hAnsiTheme="minorHAnsi" w:cstheme="minorHAnsi"/>
        </w:rPr>
        <w:t xml:space="preserve"> enne renoveerimist;</w:t>
      </w:r>
    </w:p>
    <w:p w14:paraId="56FE7FD8" w14:textId="77777777" w:rsidR="00B731C3" w:rsidRPr="00B74F57" w:rsidRDefault="00B731C3" w:rsidP="00B731C3">
      <w:pPr>
        <w:pStyle w:val="muudetavtekst"/>
        <w:rPr>
          <w:rFonts w:asciiTheme="minorHAnsi" w:hAnsiTheme="minorHAnsi" w:cstheme="minorHAnsi"/>
        </w:rPr>
      </w:pPr>
      <w:r w:rsidRPr="00B74F57">
        <w:rPr>
          <w:rFonts w:asciiTheme="minorHAnsi" w:hAnsiTheme="minorHAnsi" w:cstheme="minorHAnsi"/>
        </w:rPr>
        <w:t>ar</w:t>
      </w:r>
      <w:r>
        <w:rPr>
          <w:rFonts w:asciiTheme="minorHAnsi" w:hAnsiTheme="minorHAnsi" w:cstheme="minorHAnsi"/>
        </w:rPr>
        <w:t xml:space="preserve"> –</w:t>
      </w:r>
      <w:r w:rsidRPr="00B74F57">
        <w:rPr>
          <w:rFonts w:asciiTheme="minorHAnsi" w:hAnsiTheme="minorHAnsi" w:cstheme="minorHAnsi"/>
        </w:rPr>
        <w:t xml:space="preserve"> pärast renoveerimist;</w:t>
      </w:r>
    </w:p>
    <w:p w14:paraId="7C7B5A7B" w14:textId="77777777" w:rsidR="00B731C3" w:rsidRPr="00B74F57" w:rsidRDefault="00B731C3" w:rsidP="00B731C3">
      <w:pPr>
        <w:pStyle w:val="muudetavtekst"/>
        <w:rPr>
          <w:rFonts w:asciiTheme="minorHAnsi" w:hAnsiTheme="minorHAnsi" w:cstheme="minorHAnsi"/>
        </w:rPr>
      </w:pPr>
      <w:r w:rsidRPr="00B74F57">
        <w:rPr>
          <w:rFonts w:asciiTheme="minorHAnsi" w:hAnsiTheme="minorHAnsi" w:cstheme="minorHAnsi"/>
        </w:rPr>
        <w:t>r</w:t>
      </w:r>
      <w:r>
        <w:rPr>
          <w:rFonts w:asciiTheme="minorHAnsi" w:hAnsiTheme="minorHAnsi" w:cstheme="minorHAnsi"/>
        </w:rPr>
        <w:t xml:space="preserve"> –</w:t>
      </w:r>
      <w:r w:rsidRPr="00B74F57">
        <w:rPr>
          <w:rFonts w:asciiTheme="minorHAnsi" w:hAnsiTheme="minorHAnsi" w:cstheme="minorHAnsi"/>
        </w:rPr>
        <w:t xml:space="preserve"> kohaldatud diskontomäär;</w:t>
      </w:r>
    </w:p>
    <w:p w14:paraId="234B18CC" w14:textId="77777777" w:rsidR="00B731C3" w:rsidRPr="00B74F57" w:rsidRDefault="00B731C3" w:rsidP="00B731C3">
      <w:pPr>
        <w:pStyle w:val="muudetavtekst"/>
        <w:rPr>
          <w:rFonts w:asciiTheme="minorHAnsi" w:hAnsiTheme="minorHAnsi" w:cstheme="minorHAnsi"/>
        </w:rPr>
      </w:pPr>
      <w:r w:rsidRPr="00B74F57">
        <w:rPr>
          <w:rFonts w:asciiTheme="minorHAnsi" w:hAnsiTheme="minorHAnsi" w:cstheme="minorHAnsi"/>
        </w:rPr>
        <w:t>i</w:t>
      </w:r>
      <w:r>
        <w:rPr>
          <w:rFonts w:asciiTheme="minorHAnsi" w:hAnsiTheme="minorHAnsi" w:cstheme="minorHAnsi"/>
        </w:rPr>
        <w:t xml:space="preserve"> –</w:t>
      </w:r>
      <w:r w:rsidRPr="00B74F57">
        <w:rPr>
          <w:rFonts w:asciiTheme="minorHAnsi" w:hAnsiTheme="minorHAnsi" w:cstheme="minorHAnsi"/>
        </w:rPr>
        <w:t xml:space="preserve"> aasta, mille kulusid ja kasu hinnatakse;</w:t>
      </w:r>
    </w:p>
    <w:p w14:paraId="1303042F" w14:textId="77777777" w:rsidR="00B731C3" w:rsidRDefault="00B731C3" w:rsidP="00B731C3">
      <w:pPr>
        <w:pStyle w:val="muudetavtekst"/>
        <w:rPr>
          <w:rFonts w:asciiTheme="minorHAnsi" w:hAnsiTheme="minorHAnsi" w:cstheme="minorHAnsi"/>
        </w:rPr>
      </w:pPr>
      <w:r w:rsidRPr="00B74F57">
        <w:rPr>
          <w:rFonts w:asciiTheme="minorHAnsi" w:hAnsiTheme="minorHAnsi" w:cstheme="minorHAnsi"/>
        </w:rPr>
        <w:t>rl</w:t>
      </w:r>
      <w:r>
        <w:rPr>
          <w:rFonts w:asciiTheme="minorHAnsi" w:hAnsiTheme="minorHAnsi" w:cstheme="minorHAnsi"/>
        </w:rPr>
        <w:t xml:space="preserve"> –</w:t>
      </w:r>
      <w:r w:rsidRPr="00B74F57">
        <w:rPr>
          <w:rFonts w:asciiTheme="minorHAnsi" w:hAnsiTheme="minorHAnsi" w:cstheme="minorHAnsi"/>
        </w:rPr>
        <w:t xml:space="preserve"> hoone järelejäänud kasutusiga enne renoveerimist.</w:t>
      </w:r>
    </w:p>
    <w:p w14:paraId="75C429C8" w14:textId="77777777" w:rsidR="00B731C3" w:rsidRDefault="00B731C3" w:rsidP="00B731C3">
      <w:pPr>
        <w:pStyle w:val="muudetavtekst"/>
        <w:rPr>
          <w:rFonts w:asciiTheme="minorHAnsi" w:hAnsiTheme="minorHAnsi" w:cstheme="minorHAnsi"/>
        </w:rPr>
      </w:pPr>
    </w:p>
    <w:p w14:paraId="0183CC08" w14:textId="77777777" w:rsidR="00B731C3" w:rsidRPr="00B74F57" w:rsidRDefault="00B731C3" w:rsidP="00B731C3">
      <w:pPr>
        <w:pStyle w:val="muudetavtekst"/>
        <w:rPr>
          <w:rFonts w:asciiTheme="minorHAnsi" w:hAnsiTheme="minorHAnsi" w:cstheme="minorHAnsi"/>
        </w:rPr>
      </w:pPr>
      <w:r w:rsidRPr="00B74F57">
        <w:rPr>
          <w:rFonts w:asciiTheme="minorHAnsi" w:hAnsiTheme="minorHAnsi" w:cstheme="minorHAnsi"/>
        </w:rPr>
        <w:t xml:space="preserve">Võrrandi parem pool kajastab hoone jooksvate kulude kokkuhoidu, mis saavutatakse kogu kasutusea jooksul ja mida on asjakohaselt diskonteeritud. Võrrand on esitatud summeerimisena, </w:t>
      </w:r>
      <w:r>
        <w:rPr>
          <w:rFonts w:asciiTheme="minorHAnsi" w:hAnsiTheme="minorHAnsi" w:cstheme="minorHAnsi"/>
        </w:rPr>
        <w:t xml:space="preserve">et võtta vajaduse korral arvesse </w:t>
      </w:r>
      <w:r w:rsidRPr="00B74F57">
        <w:rPr>
          <w:rFonts w:asciiTheme="minorHAnsi" w:hAnsiTheme="minorHAnsi" w:cstheme="minorHAnsi"/>
        </w:rPr>
        <w:t>muutusi energiakuludes ning muudes kuludes ja muus kasus, mida on saabuvatel aastatel oodata.</w:t>
      </w:r>
    </w:p>
    <w:p w14:paraId="3836F173" w14:textId="77777777" w:rsidR="00B731C3" w:rsidRPr="00B74F57" w:rsidRDefault="00B731C3" w:rsidP="00B731C3">
      <w:pPr>
        <w:pStyle w:val="muudetavtekst"/>
        <w:rPr>
          <w:rFonts w:asciiTheme="minorHAnsi" w:hAnsiTheme="minorHAnsi" w:cstheme="minorHAnsi"/>
        </w:rPr>
      </w:pPr>
      <w:r>
        <w:rPr>
          <w:rFonts w:asciiTheme="minorHAnsi" w:hAnsiTheme="minorHAnsi" w:cstheme="minorHAnsi"/>
        </w:rPr>
        <w:t xml:space="preserve">Metoodikas tuleks </w:t>
      </w:r>
      <w:r w:rsidRPr="00B74F57">
        <w:rPr>
          <w:rFonts w:asciiTheme="minorHAnsi" w:hAnsiTheme="minorHAnsi" w:cstheme="minorHAnsi"/>
        </w:rPr>
        <w:t>arvesta</w:t>
      </w:r>
      <w:r>
        <w:rPr>
          <w:rFonts w:asciiTheme="minorHAnsi" w:hAnsiTheme="minorHAnsi" w:cstheme="minorHAnsi"/>
        </w:rPr>
        <w:t>da</w:t>
      </w:r>
      <w:r w:rsidRPr="00B74F57">
        <w:rPr>
          <w:rFonts w:asciiTheme="minorHAnsi" w:hAnsiTheme="minorHAnsi" w:cstheme="minorHAnsi"/>
        </w:rPr>
        <w:t xml:space="preserve"> järgmisega:</w:t>
      </w:r>
    </w:p>
    <w:p w14:paraId="2ED99881" w14:textId="77777777" w:rsidR="00B731C3" w:rsidRPr="00B74F57" w:rsidRDefault="00B731C3" w:rsidP="00B731C3">
      <w:pPr>
        <w:pStyle w:val="muudetavtekst"/>
        <w:rPr>
          <w:rFonts w:asciiTheme="minorHAnsi" w:hAnsiTheme="minorHAnsi" w:cstheme="minorHAnsi"/>
        </w:rPr>
      </w:pPr>
      <w:r>
        <w:rPr>
          <w:rFonts w:asciiTheme="minorHAnsi" w:hAnsiTheme="minorHAnsi" w:cstheme="minorHAnsi"/>
        </w:rPr>
        <w:t>-</w:t>
      </w:r>
      <w:r w:rsidRPr="00B74F57">
        <w:rPr>
          <w:rFonts w:asciiTheme="minorHAnsi" w:hAnsiTheme="minorHAnsi" w:cstheme="minorHAnsi"/>
        </w:rPr>
        <w:t xml:space="preserve"> hindamisel ei tuleks arvesse võtta sotsiaaleluruumides elavate leibkondade makstavaid tegelikke energiakulusid, kui need on turuhinnast madalamad, vaid vaadelda tuleks tinglikku arvet, mis on arvutatud keskmiste tariifide ja hinnangulise tarbimise alusel, näiteks hoonete energiatõhususe direktiivi I lisa kohase hoonete energiatõhususe arvutamise metoodika kohaselt. Üüritõusu hindamisel tuleks siiski arvesse võtta üksnes üürnike tegelikult saavutatud energiasäästu;</w:t>
      </w:r>
    </w:p>
    <w:p w14:paraId="6CBC55FE" w14:textId="77777777" w:rsidR="00B731C3" w:rsidRPr="00B74F57" w:rsidRDefault="00B731C3" w:rsidP="00B731C3">
      <w:pPr>
        <w:pStyle w:val="muudetavtekst"/>
        <w:rPr>
          <w:rFonts w:asciiTheme="minorHAnsi" w:hAnsiTheme="minorHAnsi" w:cstheme="minorHAnsi"/>
        </w:rPr>
      </w:pPr>
      <w:r>
        <w:rPr>
          <w:rFonts w:asciiTheme="minorHAnsi" w:hAnsiTheme="minorHAnsi" w:cstheme="minorHAnsi"/>
        </w:rPr>
        <w:t>-</w:t>
      </w:r>
      <w:r w:rsidRPr="00B74F57">
        <w:rPr>
          <w:rFonts w:asciiTheme="minorHAnsi" w:hAnsiTheme="minorHAnsi" w:cstheme="minorHAnsi"/>
        </w:rPr>
        <w:t xml:space="preserve"> energiatõhusamaks renoveerimise kulude hindamisel tuleks arvesse võtta kasutusea lõppu jõudnud ehitusdetailide väljavahetamise kulusid. Näiteks kui gaasikatel tuleb välja vahetada, tuleks energiatõhusamaks renoveerimise kulude hulka arvestada üksnes erinevus energiatõhusa süsteemi (nt soojuspumba) hinna ja gaasikatla asendamiseks turul kättesaadava kõige tõenäolisema alternatiivi hinna vahel;</w:t>
      </w:r>
    </w:p>
    <w:p w14:paraId="103BD5E8" w14:textId="77777777" w:rsidR="00B731C3" w:rsidRPr="00B74F57" w:rsidRDefault="00B731C3" w:rsidP="00B731C3">
      <w:pPr>
        <w:pStyle w:val="muudetavtekst"/>
        <w:rPr>
          <w:rFonts w:asciiTheme="minorHAnsi" w:hAnsiTheme="minorHAnsi" w:cstheme="minorHAnsi"/>
        </w:rPr>
      </w:pPr>
      <w:r>
        <w:rPr>
          <w:rFonts w:asciiTheme="minorHAnsi" w:hAnsiTheme="minorHAnsi" w:cstheme="minorHAnsi"/>
        </w:rPr>
        <w:t>-</w:t>
      </w:r>
      <w:r w:rsidRPr="00B74F57">
        <w:rPr>
          <w:rFonts w:asciiTheme="minorHAnsi" w:hAnsiTheme="minorHAnsi" w:cstheme="minorHAnsi"/>
        </w:rPr>
        <w:t xml:space="preserve"> </w:t>
      </w:r>
      <w:r>
        <w:rPr>
          <w:rFonts w:asciiTheme="minorHAnsi" w:hAnsiTheme="minorHAnsi" w:cstheme="minorHAnsi"/>
        </w:rPr>
        <w:t>a</w:t>
      </w:r>
      <w:r w:rsidRPr="00B74F57">
        <w:rPr>
          <w:rFonts w:asciiTheme="minorHAnsi" w:hAnsiTheme="minorHAnsi" w:cstheme="minorHAnsi"/>
        </w:rPr>
        <w:t>sendatavate elementide eeldatavat kasutusiga tuleks arvesse võtta kasu hindamisel ja seda tuleks hinnata samamoodi nagu selle metoodika puhul, mida kasutatakse kuluoptimaalse taseme hindamiseks komisjoni delegeeritud määruse (EL) nr 244/2012 (49) I lisa</w:t>
      </w:r>
      <w:r>
        <w:rPr>
          <w:rFonts w:asciiTheme="minorHAnsi" w:hAnsiTheme="minorHAnsi" w:cstheme="minorHAnsi"/>
        </w:rPr>
        <w:t xml:space="preserve"> järgi</w:t>
      </w:r>
      <w:r w:rsidRPr="00B74F57">
        <w:rPr>
          <w:rFonts w:asciiTheme="minorHAnsi" w:hAnsiTheme="minorHAnsi" w:cstheme="minorHAnsi"/>
        </w:rPr>
        <w:t>. Hoone jääkväärtuse arvutamisel peaksid liikmesriigid tuginema delegeeritud määruse (EL) nr 244/2012 (millega kehtestatakse võrdlusmeetodite raamistik hoonete ja ehitusdetailide energiatõhususe miinimumnõuete kuluoptimaalse taseme arvutamiseks) I lisale. Selles on sätestatud, et liikmesriigid peavad kasutama eluhoonete ja üldkasutatavate hoonete puhul 30aastast ning kaubanduslike ja mitteeluruumide puhul 20aastast arvutusajavahemikku;</w:t>
      </w:r>
    </w:p>
    <w:p w14:paraId="6289D6A8" w14:textId="77777777" w:rsidR="00B731C3" w:rsidRPr="00B74F57" w:rsidRDefault="00B731C3" w:rsidP="00B731C3">
      <w:pPr>
        <w:pStyle w:val="muudetavtekst"/>
        <w:rPr>
          <w:rFonts w:asciiTheme="minorHAnsi" w:hAnsiTheme="minorHAnsi" w:cstheme="minorHAnsi"/>
        </w:rPr>
      </w:pPr>
      <w:r>
        <w:rPr>
          <w:rFonts w:asciiTheme="minorHAnsi" w:hAnsiTheme="minorHAnsi" w:cstheme="minorHAnsi"/>
        </w:rPr>
        <w:t>-</w:t>
      </w:r>
      <w:r w:rsidRPr="00B74F57">
        <w:rPr>
          <w:rFonts w:asciiTheme="minorHAnsi" w:hAnsiTheme="minorHAnsi" w:cstheme="minorHAnsi"/>
        </w:rPr>
        <w:t xml:space="preserve"> muud tulu, näiteks seda, mis saadakse päikesepaneelidest, tuleks käsitada osana muust renoveerimisjärgsest kasust</w:t>
      </w:r>
      <w:r>
        <w:rPr>
          <w:rFonts w:asciiTheme="minorHAnsi" w:hAnsiTheme="minorHAnsi" w:cstheme="minorHAnsi"/>
        </w:rPr>
        <w:t xml:space="preserve">. </w:t>
      </w:r>
      <w:r w:rsidRPr="001353D1">
        <w:rPr>
          <w:rFonts w:asciiTheme="minorHAnsi" w:hAnsiTheme="minorHAnsi" w:cstheme="minorHAnsi"/>
        </w:rPr>
        <w:t>Näiteks päikeseenergia jagamine sotsiaaleluruumide üürnike vahel, mis võimaldab pakkuda rohelist elektrit madalama hinnaga. Energiatõhusamaks renoveerimisel väheneksid energiaarved ja kahaneksid need kaudsed energiakulud, mida ei pruugi näha olla, kui vaadelda üksnes energiaarvet</w:t>
      </w:r>
      <w:r>
        <w:rPr>
          <w:rFonts w:asciiTheme="minorHAnsi" w:hAnsiTheme="minorHAnsi" w:cstheme="minorHAnsi"/>
        </w:rPr>
        <w:t>;</w:t>
      </w:r>
    </w:p>
    <w:p w14:paraId="5CFCDFC5" w14:textId="77777777" w:rsidR="00B731C3" w:rsidRDefault="00B731C3" w:rsidP="00B731C3">
      <w:pPr>
        <w:pStyle w:val="muudetavtekst"/>
        <w:rPr>
          <w:rFonts w:asciiTheme="minorHAnsi" w:hAnsiTheme="minorHAnsi" w:cstheme="minorHAnsi"/>
        </w:rPr>
      </w:pPr>
      <w:r>
        <w:rPr>
          <w:rFonts w:asciiTheme="minorHAnsi" w:hAnsiTheme="minorHAnsi" w:cstheme="minorHAnsi"/>
        </w:rPr>
        <w:t>-</w:t>
      </w:r>
      <w:r w:rsidRPr="00B74F57">
        <w:rPr>
          <w:rFonts w:asciiTheme="minorHAnsi" w:hAnsiTheme="minorHAnsi" w:cstheme="minorHAnsi"/>
        </w:rPr>
        <w:t xml:space="preserve"> renoveerimine võib kaasa tuua lisatöid kas  nõu</w:t>
      </w:r>
      <w:r>
        <w:rPr>
          <w:rFonts w:asciiTheme="minorHAnsi" w:hAnsiTheme="minorHAnsi" w:cstheme="minorHAnsi"/>
        </w:rPr>
        <w:t>ete tõttu</w:t>
      </w:r>
      <w:r w:rsidRPr="00B74F57">
        <w:rPr>
          <w:rFonts w:asciiTheme="minorHAnsi" w:hAnsiTheme="minorHAnsi" w:cstheme="minorHAnsi"/>
        </w:rPr>
        <w:t xml:space="preserve"> või selleks, et hoonet veelgi täiustada. Näiteks võib hoone renoveerimiseks olla vaja viia hoone vastavusse tuleohutust, ligipääsetavust või elektrijuhtmestikku käsitlevate eeskirjadega või võidakse renoveerimise käigus luua uusi elupindasid (nt katusele).</w:t>
      </w:r>
    </w:p>
    <w:p w14:paraId="6C216241" w14:textId="77777777" w:rsidR="00B731C3" w:rsidRDefault="00B731C3" w:rsidP="00B731C3">
      <w:pPr>
        <w:pStyle w:val="muudetavtekst"/>
        <w:rPr>
          <w:rFonts w:asciiTheme="minorHAnsi" w:hAnsiTheme="minorHAnsi" w:cstheme="minorHAnsi"/>
        </w:rPr>
      </w:pPr>
      <w:r>
        <w:rPr>
          <w:rFonts w:asciiTheme="minorHAnsi" w:hAnsiTheme="minorHAnsi" w:cstheme="minorHAnsi"/>
        </w:rPr>
        <w:t xml:space="preserve">Seda kõike analüüsitakse </w:t>
      </w:r>
      <w:r w:rsidRPr="00B74F57">
        <w:rPr>
          <w:rFonts w:asciiTheme="minorHAnsi" w:hAnsiTheme="minorHAnsi" w:cstheme="minorHAnsi"/>
        </w:rPr>
        <w:t xml:space="preserve">metoodika </w:t>
      </w:r>
      <w:r>
        <w:rPr>
          <w:rFonts w:asciiTheme="minorHAnsi" w:hAnsiTheme="minorHAnsi" w:cstheme="minorHAnsi"/>
        </w:rPr>
        <w:t xml:space="preserve">väljatöötamisel, kuidas lisakasu arvestada kui </w:t>
      </w:r>
      <w:r w:rsidRPr="00B74F57">
        <w:rPr>
          <w:rFonts w:asciiTheme="minorHAnsi" w:hAnsiTheme="minorHAnsi" w:cstheme="minorHAnsi"/>
        </w:rPr>
        <w:t>renoveerimisjärgset muud kasu</w:t>
      </w:r>
      <w:r>
        <w:rPr>
          <w:rFonts w:asciiTheme="minorHAnsi" w:hAnsiTheme="minorHAnsi" w:cstheme="minorHAnsi"/>
        </w:rPr>
        <w:t>.</w:t>
      </w:r>
    </w:p>
    <w:p w14:paraId="57C341B6" w14:textId="77777777" w:rsidR="00B731C3" w:rsidRDefault="00B731C3" w:rsidP="00B731C3">
      <w:pPr>
        <w:pStyle w:val="muudetavtekst"/>
        <w:rPr>
          <w:rFonts w:asciiTheme="minorHAnsi" w:hAnsiTheme="minorHAnsi" w:cstheme="minorHAnsi"/>
        </w:rPr>
      </w:pPr>
    </w:p>
    <w:p w14:paraId="78BCC4BF" w14:textId="77777777" w:rsidR="00B731C3" w:rsidRPr="00FE77C9" w:rsidRDefault="00B731C3" w:rsidP="00B731C3">
      <w:pPr>
        <w:pStyle w:val="muudetavtekst"/>
        <w:rPr>
          <w:rFonts w:asciiTheme="minorHAnsi" w:hAnsiTheme="minorHAnsi" w:cstheme="minorHAnsi"/>
        </w:rPr>
      </w:pPr>
      <w:r w:rsidRPr="007144CA">
        <w:rPr>
          <w:rFonts w:asciiTheme="minorHAnsi" w:hAnsiTheme="minorHAnsi" w:cstheme="minorHAnsi"/>
          <w:b/>
          <w:bCs/>
        </w:rPr>
        <w:t>Punktiga 21</w:t>
      </w:r>
      <w:r>
        <w:rPr>
          <w:rFonts w:asciiTheme="minorHAnsi" w:hAnsiTheme="minorHAnsi" w:cstheme="minorHAnsi"/>
        </w:rPr>
        <w:t xml:space="preserve"> täiendatakse EnKS § 5 lõikega 4</w:t>
      </w:r>
      <w:r>
        <w:rPr>
          <w:rFonts w:asciiTheme="minorHAnsi" w:hAnsiTheme="minorHAnsi" w:cstheme="minorHAnsi"/>
          <w:vertAlign w:val="superscript"/>
        </w:rPr>
        <w:t>1</w:t>
      </w:r>
      <w:r>
        <w:rPr>
          <w:rFonts w:asciiTheme="minorHAnsi" w:hAnsiTheme="minorHAnsi" w:cstheme="minorHAnsi"/>
        </w:rPr>
        <w:t xml:space="preserve">, mis annab volitusnormi metoodika koostamiseks, mis aitab arvestada kulutõhusat rekonstrueerimist sotsiaalhoonete ja -eluruumide jaoks, mis ei tooks kaasa üüritõusu energiaostuvõimetutele isikutele ja riskirühmadele. </w:t>
      </w:r>
    </w:p>
    <w:p w14:paraId="7CD4C739" w14:textId="77777777" w:rsidR="00B731C3" w:rsidRDefault="00B731C3" w:rsidP="00B731C3">
      <w:pPr>
        <w:pStyle w:val="muudetavtekst"/>
        <w:rPr>
          <w:rFonts w:asciiTheme="minorHAnsi" w:hAnsiTheme="minorHAnsi" w:cstheme="minorHAnsi"/>
        </w:rPr>
      </w:pPr>
    </w:p>
    <w:p w14:paraId="09EBCF05" w14:textId="77777777" w:rsidR="00B731C3" w:rsidRDefault="00B731C3" w:rsidP="00B731C3">
      <w:pPr>
        <w:pStyle w:val="muudetavtekst"/>
        <w:rPr>
          <w:rFonts w:asciiTheme="minorHAnsi" w:hAnsiTheme="minorHAnsi" w:cstheme="minorHAnsi"/>
        </w:rPr>
      </w:pPr>
      <w:r w:rsidRPr="00A210F8">
        <w:rPr>
          <w:rFonts w:asciiTheme="minorHAnsi" w:hAnsiTheme="minorHAnsi" w:cstheme="minorHAnsi"/>
          <w:b/>
          <w:bCs/>
        </w:rPr>
        <w:t xml:space="preserve">Punktiga </w:t>
      </w:r>
      <w:r>
        <w:rPr>
          <w:rFonts w:asciiTheme="minorHAnsi" w:hAnsiTheme="minorHAnsi" w:cstheme="minorHAnsi"/>
          <w:b/>
          <w:bCs/>
        </w:rPr>
        <w:t>22</w:t>
      </w:r>
      <w:r>
        <w:rPr>
          <w:rFonts w:asciiTheme="minorHAnsi" w:hAnsiTheme="minorHAnsi" w:cstheme="minorHAnsi"/>
        </w:rPr>
        <w:t xml:space="preserve"> muudetakse EnKSi </w:t>
      </w:r>
      <w:r w:rsidRPr="005106DA">
        <w:rPr>
          <w:rFonts w:asciiTheme="minorHAnsi" w:hAnsiTheme="minorHAnsi" w:cstheme="minorBidi"/>
        </w:rPr>
        <w:t>§</w:t>
      </w:r>
      <w:r>
        <w:rPr>
          <w:rFonts w:asciiTheme="minorHAnsi" w:hAnsiTheme="minorHAnsi" w:cstheme="minorHAnsi"/>
        </w:rPr>
        <w:t xml:space="preserve"> 5 lõiget 5, mis sätestab reeglid juhuks, kui rekonstrueeritakse rohkem kui 3% aastas, ning kuidas neid mahte arvestada järgnevate aastate eesmärkide täitmisel. Lõikega võetakse üle direktiivi artikkel 6 lõige 3, kui leevendusmeede </w:t>
      </w:r>
      <w:r w:rsidRPr="00263978">
        <w:rPr>
          <w:rFonts w:asciiTheme="minorHAnsi" w:hAnsiTheme="minorHAnsi" w:cstheme="minorHAnsi"/>
        </w:rPr>
        <w:t xml:space="preserve">mis võimaldab eesmärki </w:t>
      </w:r>
      <w:r>
        <w:rPr>
          <w:rFonts w:asciiTheme="minorHAnsi" w:hAnsiTheme="minorHAnsi" w:cstheme="minorHAnsi"/>
        </w:rPr>
        <w:t xml:space="preserve"> (3% rekonstrueerimise nõue) </w:t>
      </w:r>
      <w:r w:rsidRPr="00263978">
        <w:rPr>
          <w:rFonts w:asciiTheme="minorHAnsi" w:hAnsiTheme="minorHAnsi" w:cstheme="minorHAnsi"/>
        </w:rPr>
        <w:t>paindlikumalt täita.</w:t>
      </w:r>
      <w:r>
        <w:rPr>
          <w:rFonts w:asciiTheme="minorHAnsi" w:hAnsiTheme="minorHAnsi" w:cstheme="minorHAnsi"/>
        </w:rPr>
        <w:t xml:space="preserve">. </w:t>
      </w:r>
    </w:p>
    <w:p w14:paraId="3671A94A" w14:textId="77777777" w:rsidR="00B731C3" w:rsidRDefault="00B731C3" w:rsidP="00B731C3">
      <w:pPr>
        <w:pStyle w:val="muudetavtekst"/>
        <w:rPr>
          <w:rFonts w:asciiTheme="minorHAnsi" w:hAnsiTheme="minorHAnsi" w:cstheme="minorHAnsi"/>
        </w:rPr>
      </w:pPr>
    </w:p>
    <w:p w14:paraId="417857BF" w14:textId="77777777" w:rsidR="00B731C3" w:rsidRDefault="00B731C3" w:rsidP="00B731C3">
      <w:pPr>
        <w:pStyle w:val="muudetavtekst"/>
        <w:rPr>
          <w:rFonts w:asciiTheme="minorHAnsi" w:hAnsiTheme="minorHAnsi" w:cstheme="minorBidi"/>
        </w:rPr>
      </w:pPr>
      <w:r w:rsidRPr="490A73E8">
        <w:rPr>
          <w:rFonts w:asciiTheme="minorHAnsi" w:hAnsiTheme="minorHAnsi" w:cstheme="minorBidi"/>
          <w:b/>
          <w:bCs/>
        </w:rPr>
        <w:t xml:space="preserve">Punktiga </w:t>
      </w:r>
      <w:r>
        <w:rPr>
          <w:rFonts w:asciiTheme="minorHAnsi" w:hAnsiTheme="minorHAnsi" w:cstheme="minorBidi"/>
          <w:b/>
          <w:bCs/>
        </w:rPr>
        <w:t>23</w:t>
      </w:r>
      <w:r w:rsidRPr="490A73E8">
        <w:rPr>
          <w:rFonts w:asciiTheme="minorHAnsi" w:hAnsiTheme="minorHAnsi" w:cstheme="minorBidi"/>
        </w:rPr>
        <w:t xml:space="preserve"> muudetakse EnKS</w:t>
      </w:r>
      <w:r>
        <w:rPr>
          <w:rFonts w:asciiTheme="minorHAnsi" w:hAnsiTheme="minorHAnsi" w:cstheme="minorBidi"/>
        </w:rPr>
        <w:t>i</w:t>
      </w:r>
      <w:r w:rsidRPr="490A73E8">
        <w:rPr>
          <w:rFonts w:asciiTheme="minorHAnsi" w:hAnsiTheme="minorHAnsi" w:cstheme="minorBidi"/>
        </w:rPr>
        <w:t xml:space="preserve"> </w:t>
      </w:r>
      <w:r w:rsidRPr="005106DA">
        <w:rPr>
          <w:rFonts w:asciiTheme="minorHAnsi" w:hAnsiTheme="minorHAnsi" w:cstheme="minorBidi"/>
        </w:rPr>
        <w:t>§</w:t>
      </w:r>
      <w:r w:rsidRPr="490A73E8">
        <w:rPr>
          <w:rFonts w:asciiTheme="minorHAnsi" w:hAnsiTheme="minorHAnsi" w:cstheme="minorBidi"/>
        </w:rPr>
        <w:t xml:space="preserve"> 5 lõiget 6, mis sätestab reeglid, kuidas arvestada renoveerimiseesmärkidesse hoone lammutamise</w:t>
      </w:r>
      <w:r>
        <w:rPr>
          <w:rFonts w:asciiTheme="minorHAnsi" w:hAnsiTheme="minorHAnsi" w:cstheme="minorBidi"/>
        </w:rPr>
        <w:t xml:space="preserve"> korra</w:t>
      </w:r>
      <w:r w:rsidRPr="490A73E8">
        <w:rPr>
          <w:rFonts w:asciiTheme="minorHAnsi" w:hAnsiTheme="minorHAnsi" w:cstheme="minorBidi"/>
        </w:rPr>
        <w:t>l</w:t>
      </w:r>
      <w:r>
        <w:rPr>
          <w:rFonts w:asciiTheme="minorHAnsi" w:hAnsiTheme="minorHAnsi" w:cstheme="minorBidi"/>
        </w:rPr>
        <w:t xml:space="preserve"> </w:t>
      </w:r>
      <w:r w:rsidRPr="490A73E8">
        <w:rPr>
          <w:rFonts w:asciiTheme="minorHAnsi" w:hAnsiTheme="minorHAnsi" w:cstheme="minorBidi"/>
        </w:rPr>
        <w:t xml:space="preserve">uue hoone ehitamine. </w:t>
      </w:r>
      <w:r>
        <w:rPr>
          <w:rFonts w:asciiTheme="minorHAnsi" w:hAnsiTheme="minorHAnsi" w:cstheme="minorBidi"/>
        </w:rPr>
        <w:t xml:space="preserve">Lõikega võetakse üle artikkel 6 lõige 4, kui leevendusmeede, mis võimaldab eesmärki (3% rekonstrueerimise nõue) paindlikumalt täita. Uut hoonet saab rekonstrueerimise eesmärkide täitmisel arvestada </w:t>
      </w:r>
      <w:r>
        <w:rPr>
          <w:rFonts w:asciiTheme="minorHAnsi" w:hAnsiTheme="minorHAnsi" w:cstheme="minorBidi"/>
        </w:rPr>
        <w:lastRenderedPageBreak/>
        <w:t xml:space="preserve">vaid siis, </w:t>
      </w:r>
      <w:r w:rsidRPr="490A73E8">
        <w:rPr>
          <w:rFonts w:asciiTheme="minorHAnsi" w:hAnsiTheme="minorHAnsi" w:cstheme="minorBidi"/>
        </w:rPr>
        <w:t xml:space="preserve"> kui tehakse arvutus/analüüs, mis kinnitaks, et olemasoleva hoone lammutamine ja asendamine uue hoonega on energiatarbimise ja hoone olelusringi jooksul tekkiva CO</w:t>
      </w:r>
      <w:r>
        <w:rPr>
          <w:rFonts w:asciiTheme="minorHAnsi" w:hAnsiTheme="minorHAnsi" w:cstheme="minorBidi"/>
          <w:vertAlign w:val="subscript"/>
        </w:rPr>
        <w:t>2</w:t>
      </w:r>
      <w:r w:rsidRPr="490A73E8">
        <w:rPr>
          <w:rFonts w:asciiTheme="minorHAnsi" w:hAnsiTheme="minorHAnsi" w:cstheme="minorBidi"/>
        </w:rPr>
        <w:t xml:space="preserve"> heite vaatenurgast kulutõhusam ning säästlikum hoone renoveerimisest. Olelusringi CO</w:t>
      </w:r>
      <w:r>
        <w:rPr>
          <w:rFonts w:asciiTheme="minorHAnsi" w:hAnsiTheme="minorHAnsi" w:cstheme="minorBidi"/>
          <w:vertAlign w:val="subscript"/>
        </w:rPr>
        <w:t>2</w:t>
      </w:r>
      <w:r w:rsidRPr="490A73E8">
        <w:rPr>
          <w:rFonts w:asciiTheme="minorHAnsi" w:hAnsiTheme="minorHAnsi" w:cstheme="minorBidi"/>
        </w:rPr>
        <w:t xml:space="preserve"> hei</w:t>
      </w:r>
      <w:r>
        <w:rPr>
          <w:rFonts w:asciiTheme="minorHAnsi" w:hAnsiTheme="minorHAnsi" w:cstheme="minorBidi"/>
        </w:rPr>
        <w:t>tena käsitatakse nii</w:t>
      </w:r>
      <w:r w:rsidRPr="490A73E8">
        <w:rPr>
          <w:rFonts w:asciiTheme="minorHAnsi" w:hAnsiTheme="minorHAnsi" w:cstheme="minorBidi"/>
        </w:rPr>
        <w:t xml:space="preserve"> tegevuse käigus tekkivaid heitkoguseid</w:t>
      </w:r>
      <w:r>
        <w:rPr>
          <w:rFonts w:asciiTheme="minorHAnsi" w:hAnsiTheme="minorHAnsi" w:cstheme="minorBidi"/>
        </w:rPr>
        <w:t xml:space="preserve"> kui ka </w:t>
      </w:r>
      <w:r w:rsidRPr="490A73E8">
        <w:rPr>
          <w:rFonts w:asciiTheme="minorHAnsi" w:hAnsiTheme="minorHAnsi" w:cstheme="minorBidi"/>
        </w:rPr>
        <w:t xml:space="preserve">koguseid, mis </w:t>
      </w:r>
      <w:r>
        <w:rPr>
          <w:rFonts w:asciiTheme="minorHAnsi" w:hAnsiTheme="minorHAnsi" w:cstheme="minorBidi"/>
        </w:rPr>
        <w:t>tekivad</w:t>
      </w:r>
      <w:r w:rsidRPr="490A73E8">
        <w:rPr>
          <w:rFonts w:asciiTheme="minorHAnsi" w:hAnsiTheme="minorHAnsi" w:cstheme="minorBidi"/>
        </w:rPr>
        <w:t xml:space="preserve"> vana hoone lammutamise</w:t>
      </w:r>
      <w:r>
        <w:rPr>
          <w:rFonts w:asciiTheme="minorHAnsi" w:hAnsiTheme="minorHAnsi" w:cstheme="minorBidi"/>
        </w:rPr>
        <w:t>l.</w:t>
      </w:r>
    </w:p>
    <w:p w14:paraId="40CB0863" w14:textId="77777777" w:rsidR="00B731C3" w:rsidRDefault="00B731C3" w:rsidP="00B731C3">
      <w:pPr>
        <w:pStyle w:val="muudetavtekst"/>
        <w:rPr>
          <w:rFonts w:asciiTheme="minorHAnsi" w:hAnsiTheme="minorHAnsi" w:cstheme="minorBidi"/>
        </w:rPr>
      </w:pPr>
      <w:r w:rsidRPr="490A73E8">
        <w:rPr>
          <w:rFonts w:asciiTheme="minorHAnsi" w:hAnsiTheme="minorHAnsi" w:cstheme="minorBidi"/>
        </w:rPr>
        <w:t>Selle eesmärk on, et</w:t>
      </w:r>
      <w:r>
        <w:rPr>
          <w:rFonts w:asciiTheme="minorHAnsi" w:hAnsiTheme="minorHAnsi" w:cstheme="minorBidi"/>
        </w:rPr>
        <w:t xml:space="preserve"> tähelepanu </w:t>
      </w:r>
      <w:r w:rsidRPr="490A73E8">
        <w:rPr>
          <w:rFonts w:asciiTheme="minorHAnsi" w:hAnsiTheme="minorHAnsi" w:cstheme="minorBidi"/>
        </w:rPr>
        <w:t>oleks hoonete rekonstrueerimisel, mitte lammutamisel ja</w:t>
      </w:r>
      <w:r>
        <w:rPr>
          <w:rFonts w:asciiTheme="minorHAnsi" w:hAnsiTheme="minorHAnsi" w:cstheme="minorBidi"/>
        </w:rPr>
        <w:t xml:space="preserve"> </w:t>
      </w:r>
      <w:r w:rsidRPr="490A73E8">
        <w:rPr>
          <w:rFonts w:asciiTheme="minorHAnsi" w:hAnsiTheme="minorHAnsi" w:cstheme="minorBidi"/>
        </w:rPr>
        <w:t>uute ehitamisel. Lähenemist toetab ka „Hoonete rekonstrueerimise pikaajaline strateegia“</w:t>
      </w:r>
      <w:r w:rsidRPr="490A73E8">
        <w:rPr>
          <w:rStyle w:val="Allmrkuseviide"/>
          <w:rFonts w:asciiTheme="minorHAnsi" w:hAnsiTheme="minorHAnsi" w:cstheme="minorBidi"/>
        </w:rPr>
        <w:footnoteReference w:id="46"/>
      </w:r>
      <w:r w:rsidRPr="490A73E8">
        <w:rPr>
          <w:rFonts w:asciiTheme="minorHAnsi" w:hAnsiTheme="minorHAnsi" w:cstheme="minorBidi"/>
        </w:rPr>
        <w:t>.</w:t>
      </w:r>
    </w:p>
    <w:p w14:paraId="480D9B2D" w14:textId="77777777" w:rsidR="00B731C3" w:rsidRDefault="00B731C3" w:rsidP="00B731C3">
      <w:pPr>
        <w:pStyle w:val="muudetavtekst"/>
        <w:rPr>
          <w:rFonts w:asciiTheme="minorHAnsi" w:hAnsiTheme="minorHAnsi" w:cstheme="minorHAnsi"/>
          <w:u w:val="single"/>
        </w:rPr>
      </w:pPr>
    </w:p>
    <w:p w14:paraId="4D06E5B0" w14:textId="77777777" w:rsidR="00B731C3" w:rsidRDefault="00B731C3" w:rsidP="00B731C3">
      <w:pPr>
        <w:pStyle w:val="muudetavtekst"/>
        <w:rPr>
          <w:rFonts w:asciiTheme="minorHAnsi" w:hAnsiTheme="minorHAnsi" w:cstheme="minorHAnsi"/>
          <w:u w:val="single"/>
        </w:rPr>
      </w:pPr>
      <w:r w:rsidRPr="0074183B">
        <w:rPr>
          <w:rFonts w:asciiTheme="minorHAnsi" w:hAnsiTheme="minorHAnsi" w:cstheme="minorHAnsi"/>
          <w:u w:val="single"/>
        </w:rPr>
        <w:t>Lammutamine ja asendamine</w:t>
      </w:r>
    </w:p>
    <w:p w14:paraId="1CA670B3" w14:textId="77777777" w:rsidR="00B731C3" w:rsidRDefault="00B731C3" w:rsidP="00B731C3">
      <w:pPr>
        <w:pStyle w:val="muudetavtekst"/>
        <w:rPr>
          <w:rFonts w:asciiTheme="minorHAnsi" w:hAnsiTheme="minorHAnsi" w:cstheme="minorHAnsi"/>
        </w:rPr>
      </w:pPr>
      <w:r>
        <w:rPr>
          <w:rFonts w:asciiTheme="minorHAnsi" w:hAnsiTheme="minorHAnsi" w:cstheme="minorHAnsi"/>
        </w:rPr>
        <w:t>Mõningatel</w:t>
      </w:r>
      <w:r w:rsidRPr="0074183B">
        <w:rPr>
          <w:rFonts w:asciiTheme="minorHAnsi" w:hAnsiTheme="minorHAnsi" w:cstheme="minorHAnsi"/>
        </w:rPr>
        <w:t xml:space="preserve"> tingimustel arvesta</w:t>
      </w:r>
      <w:r>
        <w:rPr>
          <w:rFonts w:asciiTheme="minorHAnsi" w:hAnsiTheme="minorHAnsi" w:cstheme="minorHAnsi"/>
        </w:rPr>
        <w:t>takse</w:t>
      </w:r>
      <w:r w:rsidRPr="0074183B">
        <w:rPr>
          <w:rFonts w:asciiTheme="minorHAnsi" w:hAnsiTheme="minorHAnsi" w:cstheme="minorHAnsi"/>
        </w:rPr>
        <w:t xml:space="preserve"> iga-aastase renoveerimismäära hulka eelmise kahe aasta jooksul lammutatud hoonete asemele omandatud uute hoonete kasulik </w:t>
      </w:r>
      <w:r>
        <w:rPr>
          <w:rFonts w:asciiTheme="minorHAnsi" w:hAnsiTheme="minorHAnsi" w:cstheme="minorHAnsi"/>
        </w:rPr>
        <w:t>üld</w:t>
      </w:r>
      <w:r w:rsidRPr="0074183B">
        <w:rPr>
          <w:rFonts w:asciiTheme="minorHAnsi" w:hAnsiTheme="minorHAnsi" w:cstheme="minorHAnsi"/>
        </w:rPr>
        <w:t>põrandapin</w:t>
      </w:r>
      <w:r>
        <w:rPr>
          <w:rFonts w:asciiTheme="minorHAnsi" w:hAnsiTheme="minorHAnsi" w:cstheme="minorHAnsi"/>
        </w:rPr>
        <w:t>d.</w:t>
      </w:r>
      <w:r w:rsidRPr="0074183B">
        <w:rPr>
          <w:rFonts w:asciiTheme="minorHAnsi" w:hAnsiTheme="minorHAnsi" w:cstheme="minorHAnsi"/>
        </w:rPr>
        <w:t xml:space="preserve"> Uue liginullenergiahoone või heitevaba hoone arves</w:t>
      </w:r>
      <w:r>
        <w:rPr>
          <w:rFonts w:asciiTheme="minorHAnsi" w:hAnsiTheme="minorHAnsi" w:cstheme="minorHAnsi"/>
        </w:rPr>
        <w:t>tamine</w:t>
      </w:r>
      <w:r w:rsidRPr="0074183B">
        <w:rPr>
          <w:rFonts w:asciiTheme="minorHAnsi" w:hAnsiTheme="minorHAnsi" w:cstheme="minorHAnsi"/>
        </w:rPr>
        <w:t xml:space="preserve"> iga-aastase renoveerimismäära</w:t>
      </w:r>
      <w:r>
        <w:rPr>
          <w:rFonts w:asciiTheme="minorHAnsi" w:hAnsiTheme="minorHAnsi" w:cstheme="minorHAnsi"/>
        </w:rPr>
        <w:t xml:space="preserve"> </w:t>
      </w:r>
      <w:r w:rsidRPr="0074183B">
        <w:rPr>
          <w:rFonts w:asciiTheme="minorHAnsi" w:hAnsiTheme="minorHAnsi" w:cstheme="minorHAnsi"/>
        </w:rPr>
        <w:t>saavutamiseks on lubatud vaid juhul, kui on täidetud kaks kriteeriumi:</w:t>
      </w:r>
    </w:p>
    <w:p w14:paraId="383E3BC0" w14:textId="77777777" w:rsidR="00B731C3" w:rsidRDefault="00B731C3" w:rsidP="00B731C3">
      <w:pPr>
        <w:pStyle w:val="muudetavtekst"/>
        <w:rPr>
          <w:rFonts w:asciiTheme="minorHAnsi" w:hAnsiTheme="minorHAnsi" w:cstheme="minorBidi"/>
        </w:rPr>
      </w:pPr>
      <w:r w:rsidRPr="6C77E38F">
        <w:rPr>
          <w:rFonts w:asciiTheme="minorHAnsi" w:hAnsiTheme="minorHAnsi" w:cstheme="minorBidi"/>
        </w:rPr>
        <w:t>1) uus hoone asendab eelmise kahe aasta jooksul lammutatud avaliku sektori asutuse hoonet;</w:t>
      </w:r>
    </w:p>
    <w:p w14:paraId="4686FB7B" w14:textId="77777777" w:rsidR="00B731C3" w:rsidRDefault="00B731C3" w:rsidP="00B731C3">
      <w:pPr>
        <w:pStyle w:val="muudetavtekst"/>
        <w:rPr>
          <w:rFonts w:asciiTheme="minorHAnsi" w:hAnsiTheme="minorHAnsi" w:cstheme="minorBidi"/>
        </w:rPr>
      </w:pPr>
      <w:r w:rsidRPr="6C77E38F">
        <w:rPr>
          <w:rFonts w:asciiTheme="minorHAnsi" w:hAnsiTheme="minorHAnsi" w:cstheme="minorBidi"/>
        </w:rPr>
        <w:t>2) olemasoleva hoone lammutamine ja asendamine uue hoonega on energiatarbimise ja hoone olelusringi jooksul tekkiva CO</w:t>
      </w:r>
      <w:r>
        <w:rPr>
          <w:rFonts w:asciiTheme="minorHAnsi" w:hAnsiTheme="minorHAnsi" w:cstheme="minorBidi"/>
          <w:vertAlign w:val="subscript"/>
        </w:rPr>
        <w:t>2</w:t>
      </w:r>
      <w:r w:rsidRPr="6C77E38F">
        <w:rPr>
          <w:rFonts w:asciiTheme="minorHAnsi" w:hAnsiTheme="minorHAnsi" w:cstheme="minorBidi"/>
        </w:rPr>
        <w:t xml:space="preserve"> heite vaatenurgast kulutõhusam ja säästlikum kui hoone renoveerimine. Olelusringi CO</w:t>
      </w:r>
      <w:r>
        <w:rPr>
          <w:rFonts w:asciiTheme="minorHAnsi" w:hAnsiTheme="minorHAnsi" w:cstheme="minorBidi"/>
          <w:vertAlign w:val="subscript"/>
        </w:rPr>
        <w:t>2</w:t>
      </w:r>
      <w:r w:rsidRPr="6C77E38F">
        <w:rPr>
          <w:rFonts w:asciiTheme="minorHAnsi" w:hAnsiTheme="minorHAnsi" w:cstheme="minorBidi"/>
        </w:rPr>
        <w:t xml:space="preserve"> heide </w:t>
      </w:r>
      <w:r w:rsidRPr="00B600B1">
        <w:rPr>
          <w:rFonts w:asciiTheme="minorHAnsi" w:hAnsiTheme="minorHAnsi" w:cstheme="minorBidi"/>
        </w:rPr>
        <w:t>hõlmab seonduvaid (renoveerimis</w:t>
      </w:r>
      <w:r>
        <w:rPr>
          <w:rFonts w:asciiTheme="minorHAnsi" w:hAnsiTheme="minorHAnsi" w:cstheme="minorBidi"/>
        </w:rPr>
        <w:t>- ja ehitusetapi)</w:t>
      </w:r>
      <w:r w:rsidRPr="6C77E38F">
        <w:rPr>
          <w:rFonts w:asciiTheme="minorHAnsi" w:hAnsiTheme="minorHAnsi" w:cstheme="minorBidi"/>
        </w:rPr>
        <w:t xml:space="preserve"> heitkoguseid ja tegevuse käigus tekkivaid heitkoguseid ning heitkoguseid, mis on seotud vana hoone lammutamisega.</w:t>
      </w:r>
    </w:p>
    <w:p w14:paraId="436A8981" w14:textId="77777777" w:rsidR="00B731C3" w:rsidRDefault="00B731C3" w:rsidP="00B731C3">
      <w:pPr>
        <w:pStyle w:val="muudetavtekst"/>
        <w:rPr>
          <w:rFonts w:asciiTheme="minorHAnsi" w:hAnsiTheme="minorHAnsi" w:cstheme="minorBidi"/>
        </w:rPr>
      </w:pPr>
    </w:p>
    <w:p w14:paraId="692A0250" w14:textId="77777777" w:rsidR="00B731C3" w:rsidRDefault="00B731C3" w:rsidP="00B731C3">
      <w:pPr>
        <w:pStyle w:val="muudetavtekst"/>
        <w:rPr>
          <w:rFonts w:asciiTheme="minorHAnsi" w:hAnsiTheme="minorHAnsi" w:cstheme="minorBidi"/>
        </w:rPr>
      </w:pPr>
      <w:r w:rsidRPr="6C77E38F">
        <w:rPr>
          <w:rFonts w:asciiTheme="minorHAnsi" w:hAnsiTheme="minorHAnsi" w:cstheme="minorBidi"/>
        </w:rPr>
        <w:t xml:space="preserve">Hoone lammutamise ja asendamise kriteeriumid on tabelis </w:t>
      </w:r>
      <w:r>
        <w:rPr>
          <w:rFonts w:asciiTheme="minorHAnsi" w:hAnsiTheme="minorHAnsi" w:cstheme="minorBidi"/>
        </w:rPr>
        <w:t>11.</w:t>
      </w:r>
    </w:p>
    <w:p w14:paraId="0BA798D9" w14:textId="77777777" w:rsidR="00B731C3" w:rsidRDefault="00B731C3" w:rsidP="00B731C3">
      <w:pPr>
        <w:pStyle w:val="muudetavtekst"/>
        <w:rPr>
          <w:rFonts w:asciiTheme="minorHAnsi" w:hAnsiTheme="minorHAnsi" w:cstheme="minorHAnsi"/>
        </w:rPr>
      </w:pPr>
    </w:p>
    <w:p w14:paraId="379F71E2" w14:textId="77777777" w:rsidR="00B731C3" w:rsidRPr="00894978" w:rsidRDefault="00B731C3" w:rsidP="00B731C3">
      <w:pPr>
        <w:pStyle w:val="muudetavtekst"/>
        <w:rPr>
          <w:color w:val="000000"/>
        </w:rPr>
      </w:pPr>
      <w:r w:rsidRPr="00CD7240">
        <w:rPr>
          <w:rFonts w:asciiTheme="minorHAnsi" w:hAnsiTheme="minorHAnsi" w:cstheme="minorHAnsi"/>
        </w:rPr>
        <w:t>Tabel 11. Lammutamise</w:t>
      </w:r>
      <w:r>
        <w:rPr>
          <w:rFonts w:asciiTheme="minorHAnsi" w:hAnsiTheme="minorHAnsi" w:cstheme="minorHAnsi"/>
        </w:rPr>
        <w:t xml:space="preserve"> ja asendamise kriteeriumid</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494"/>
        <w:gridCol w:w="7562"/>
      </w:tblGrid>
      <w:tr w:rsidR="00B731C3" w:rsidRPr="00894978" w14:paraId="0667B98E" w14:textId="77777777" w:rsidTr="00A13E67">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AE0B5A7" w14:textId="77777777" w:rsidR="00B731C3" w:rsidRPr="00894978" w:rsidRDefault="00B731C3" w:rsidP="00A13E67">
            <w:pPr>
              <w:spacing w:after="0" w:line="240" w:lineRule="auto"/>
              <w:ind w:right="195"/>
              <w:jc w:val="center"/>
              <w:rPr>
                <w:rFonts w:ascii="inherit" w:eastAsia="Times New Roman" w:hAnsi="inherit" w:cs="Times New Roman"/>
                <w:b/>
                <w:bCs/>
                <w:color w:val="000000"/>
                <w:lang w:eastAsia="et-EE"/>
              </w:rPr>
            </w:pPr>
            <w:r w:rsidRPr="00894978">
              <w:rPr>
                <w:rFonts w:ascii="inherit" w:eastAsia="Times New Roman" w:hAnsi="inherit" w:cs="Times New Roman"/>
                <w:b/>
                <w:bCs/>
                <w:color w:val="000000"/>
                <w:lang w:eastAsia="et-EE"/>
              </w:rPr>
              <w:t>Parameetrid</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9A5BD9C" w14:textId="77777777" w:rsidR="00B731C3" w:rsidRPr="00894978" w:rsidRDefault="00B731C3" w:rsidP="00A13E67">
            <w:pPr>
              <w:spacing w:after="0" w:line="240" w:lineRule="auto"/>
              <w:ind w:right="195"/>
              <w:jc w:val="center"/>
              <w:rPr>
                <w:rFonts w:ascii="inherit" w:eastAsia="Times New Roman" w:hAnsi="inherit" w:cs="Times New Roman"/>
                <w:b/>
                <w:bCs/>
                <w:color w:val="000000"/>
                <w:lang w:eastAsia="et-EE"/>
              </w:rPr>
            </w:pPr>
            <w:r w:rsidRPr="00894978">
              <w:rPr>
                <w:rFonts w:ascii="inherit" w:eastAsia="Times New Roman" w:hAnsi="inherit" w:cs="Times New Roman"/>
                <w:b/>
                <w:bCs/>
                <w:color w:val="000000"/>
                <w:lang w:eastAsia="et-EE"/>
              </w:rPr>
              <w:t>Tingimus</w:t>
            </w:r>
          </w:p>
        </w:tc>
      </w:tr>
      <w:tr w:rsidR="00B731C3" w:rsidRPr="00894978" w14:paraId="11FC939D" w14:textId="77777777" w:rsidTr="00A13E67">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544632AF" w14:textId="77777777" w:rsidR="00B731C3" w:rsidRPr="00894978" w:rsidRDefault="00B731C3" w:rsidP="00A13E67">
            <w:pPr>
              <w:spacing w:after="0" w:line="240" w:lineRule="auto"/>
              <w:rPr>
                <w:rFonts w:ascii="inherit" w:eastAsia="Times New Roman" w:hAnsi="inherit" w:cs="Times New Roman"/>
                <w:color w:val="000000"/>
                <w:lang w:eastAsia="et-EE"/>
              </w:rPr>
            </w:pPr>
            <w:r w:rsidRPr="00894978">
              <w:rPr>
                <w:rFonts w:ascii="inherit" w:eastAsia="Times New Roman" w:hAnsi="inherit" w:cs="Times New Roman"/>
                <w:color w:val="000000"/>
                <w:lang w:eastAsia="et-EE"/>
              </w:rPr>
              <w:t>Kulutõhusus</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41342F6" w14:textId="77777777" w:rsidR="00B731C3" w:rsidRPr="00894978" w:rsidRDefault="00B731C3" w:rsidP="00A13E67">
            <w:pPr>
              <w:spacing w:after="0" w:line="240" w:lineRule="auto"/>
              <w:rPr>
                <w:rFonts w:ascii="inherit" w:eastAsia="Times New Roman" w:hAnsi="inherit" w:cs="Times New Roman"/>
                <w:color w:val="000000"/>
                <w:lang w:eastAsia="et-EE"/>
              </w:rPr>
            </w:pPr>
            <w:r w:rsidRPr="00894978">
              <w:rPr>
                <w:rFonts w:ascii="inherit" w:eastAsia="Times New Roman" w:hAnsi="inherit" w:cs="Times New Roman"/>
                <w:color w:val="000000"/>
                <w:lang w:eastAsia="et-EE"/>
              </w:rPr>
              <w:t>Olemasoleva hoone lammutamise kogukulud (eurodes) + uue hoone ehitamise kogukulud (eurodes) </w:t>
            </w:r>
            <w:r w:rsidRPr="00894978">
              <w:rPr>
                <w:rFonts w:ascii="inherit" w:eastAsia="Times New Roman" w:hAnsi="inherit" w:cs="Times New Roman"/>
                <w:b/>
                <w:bCs/>
                <w:color w:val="000000"/>
                <w:lang w:eastAsia="et-EE"/>
              </w:rPr>
              <w:t>&lt;</w:t>
            </w:r>
            <w:r w:rsidRPr="00894978">
              <w:rPr>
                <w:rFonts w:ascii="inherit" w:eastAsia="Times New Roman" w:hAnsi="inherit" w:cs="Times New Roman"/>
                <w:color w:val="000000"/>
                <w:lang w:eastAsia="et-EE"/>
              </w:rPr>
              <w:t> olemasoleva hoone renoveerimise kogukulud (eurodes)</w:t>
            </w:r>
          </w:p>
        </w:tc>
      </w:tr>
      <w:tr w:rsidR="00B731C3" w:rsidRPr="00894978" w14:paraId="47ABB307" w14:textId="77777777" w:rsidTr="00A13E67">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21B7A303" w14:textId="77777777" w:rsidR="00B731C3" w:rsidRPr="00894978" w:rsidRDefault="00B731C3" w:rsidP="00A13E67">
            <w:pPr>
              <w:spacing w:after="0" w:line="240" w:lineRule="auto"/>
              <w:rPr>
                <w:rFonts w:ascii="inherit" w:eastAsia="Times New Roman" w:hAnsi="inherit" w:cs="Times New Roman"/>
                <w:color w:val="000000"/>
                <w:lang w:eastAsia="et-EE"/>
              </w:rPr>
            </w:pPr>
            <w:r>
              <w:rPr>
                <w:rFonts w:ascii="inherit" w:eastAsia="Times New Roman" w:hAnsi="inherit" w:cs="Times New Roman"/>
                <w:color w:val="000000" w:themeColor="text1"/>
                <w:lang w:eastAsia="et-EE"/>
              </w:rPr>
              <w:t xml:space="preserve">Säästlikkus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1CF56DAD" w14:textId="77777777" w:rsidR="00B731C3" w:rsidRPr="00894978" w:rsidRDefault="00B731C3" w:rsidP="00A13E67">
            <w:pPr>
              <w:spacing w:after="0" w:line="240" w:lineRule="auto"/>
              <w:rPr>
                <w:rFonts w:ascii="inherit" w:eastAsia="Times New Roman" w:hAnsi="inherit" w:cs="Times New Roman"/>
                <w:color w:val="000000"/>
                <w:lang w:eastAsia="et-EE"/>
              </w:rPr>
            </w:pPr>
            <w:r w:rsidRPr="00894978">
              <w:rPr>
                <w:rFonts w:ascii="inherit" w:eastAsia="Times New Roman" w:hAnsi="inherit" w:cs="Times New Roman"/>
                <w:color w:val="000000"/>
                <w:lang w:eastAsia="et-EE"/>
              </w:rPr>
              <w:t>Renoveeritud hoone energia kogutarbimine (kWh) hoone järelejäänud hinnangulise majandusliku olelusringi jooksul + energia kogutarbimine (kWh) renoveerimisetapis </w:t>
            </w:r>
            <w:r w:rsidRPr="00894978">
              <w:rPr>
                <w:rFonts w:ascii="inherit" w:eastAsia="Times New Roman" w:hAnsi="inherit" w:cs="Times New Roman"/>
                <w:b/>
                <w:bCs/>
                <w:color w:val="000000"/>
                <w:lang w:eastAsia="et-EE"/>
              </w:rPr>
              <w:t>&gt;</w:t>
            </w:r>
            <w:r w:rsidRPr="00894978">
              <w:rPr>
                <w:rFonts w:ascii="inherit" w:eastAsia="Times New Roman" w:hAnsi="inherit" w:cs="Times New Roman"/>
                <w:color w:val="000000"/>
                <w:lang w:eastAsia="et-EE"/>
              </w:rPr>
              <w:t> uue hoone energia kogutarbimine (kWh) sama arvu aastate jooksul + energia kogutarbimine (kWh) lammutus- ja ehitusetapis</w:t>
            </w:r>
          </w:p>
          <w:p w14:paraId="0E7D598C" w14:textId="77777777" w:rsidR="00B731C3" w:rsidRPr="00894978" w:rsidRDefault="00B731C3" w:rsidP="00A13E67">
            <w:pPr>
              <w:spacing w:after="0" w:line="240" w:lineRule="auto"/>
              <w:rPr>
                <w:rFonts w:ascii="inherit" w:eastAsia="Times New Roman" w:hAnsi="inherit" w:cs="Times New Roman"/>
                <w:color w:val="000000" w:themeColor="text1"/>
                <w:lang w:eastAsia="et-EE"/>
              </w:rPr>
            </w:pPr>
            <w:r w:rsidRPr="6C77E38F">
              <w:rPr>
                <w:rFonts w:ascii="inherit" w:eastAsia="Times New Roman" w:hAnsi="inherit" w:cs="Times New Roman"/>
                <w:color w:val="000000" w:themeColor="text1"/>
                <w:lang w:eastAsia="et-EE"/>
              </w:rPr>
              <w:t>ja</w:t>
            </w:r>
          </w:p>
          <w:p w14:paraId="79E0FF36" w14:textId="77777777" w:rsidR="00B731C3" w:rsidRPr="00894978" w:rsidRDefault="00B731C3" w:rsidP="00A13E67">
            <w:pPr>
              <w:spacing w:after="0" w:line="240" w:lineRule="auto"/>
              <w:rPr>
                <w:rFonts w:ascii="inherit" w:eastAsia="Times New Roman" w:hAnsi="inherit" w:cs="Times New Roman"/>
                <w:color w:val="000000"/>
                <w:lang w:eastAsia="et-EE"/>
              </w:rPr>
            </w:pPr>
            <w:r w:rsidRPr="00894978">
              <w:rPr>
                <w:rFonts w:ascii="inherit" w:eastAsia="Times New Roman" w:hAnsi="inherit" w:cs="Times New Roman"/>
                <w:color w:val="000000"/>
                <w:lang w:eastAsia="et-EE"/>
              </w:rPr>
              <w:t>renoveeritud hoone CO</w:t>
            </w:r>
            <w:r w:rsidRPr="00894978">
              <w:rPr>
                <w:rFonts w:ascii="inherit" w:eastAsia="Times New Roman" w:hAnsi="inherit" w:cs="Times New Roman"/>
                <w:color w:val="000000"/>
                <w:sz w:val="15"/>
                <w:szCs w:val="15"/>
                <w:vertAlign w:val="subscript"/>
                <w:lang w:eastAsia="et-EE"/>
              </w:rPr>
              <w:t>2</w:t>
            </w:r>
            <w:r w:rsidRPr="00894978">
              <w:rPr>
                <w:rFonts w:ascii="inherit" w:eastAsia="Times New Roman" w:hAnsi="inherit" w:cs="Times New Roman"/>
                <w:color w:val="000000"/>
                <w:lang w:eastAsia="et-EE"/>
              </w:rPr>
              <w:t> heide (CO</w:t>
            </w:r>
            <w:r w:rsidRPr="00894978">
              <w:rPr>
                <w:rFonts w:ascii="inherit" w:eastAsia="Times New Roman" w:hAnsi="inherit" w:cs="Times New Roman"/>
                <w:color w:val="000000"/>
                <w:sz w:val="15"/>
                <w:szCs w:val="15"/>
                <w:vertAlign w:val="subscript"/>
                <w:lang w:eastAsia="et-EE"/>
              </w:rPr>
              <w:t>2</w:t>
            </w:r>
            <w:r w:rsidRPr="00894978">
              <w:rPr>
                <w:rFonts w:ascii="inherit" w:eastAsia="Times New Roman" w:hAnsi="inherit" w:cs="Times New Roman"/>
                <w:color w:val="000000"/>
                <w:lang w:eastAsia="et-EE"/>
              </w:rPr>
              <w:t> ekvivalenttonnides) hoone järelejäänud hinnangulise majandusliku olelusringi jooksul + olelusringi CO</w:t>
            </w:r>
            <w:r w:rsidRPr="00894978">
              <w:rPr>
                <w:rFonts w:ascii="inherit" w:eastAsia="Times New Roman" w:hAnsi="inherit" w:cs="Times New Roman"/>
                <w:color w:val="000000"/>
                <w:sz w:val="15"/>
                <w:szCs w:val="15"/>
                <w:vertAlign w:val="subscript"/>
                <w:lang w:eastAsia="et-EE"/>
              </w:rPr>
              <w:t>2</w:t>
            </w:r>
            <w:r w:rsidRPr="00894978">
              <w:rPr>
                <w:rFonts w:ascii="inherit" w:eastAsia="Times New Roman" w:hAnsi="inherit" w:cs="Times New Roman"/>
                <w:color w:val="000000"/>
                <w:lang w:eastAsia="et-EE"/>
              </w:rPr>
              <w:t> heide (CO</w:t>
            </w:r>
            <w:r w:rsidRPr="00894978">
              <w:rPr>
                <w:rFonts w:ascii="inherit" w:eastAsia="Times New Roman" w:hAnsi="inherit" w:cs="Times New Roman"/>
                <w:color w:val="000000"/>
                <w:sz w:val="15"/>
                <w:szCs w:val="15"/>
                <w:vertAlign w:val="subscript"/>
                <w:lang w:eastAsia="et-EE"/>
              </w:rPr>
              <w:t>2</w:t>
            </w:r>
            <w:r w:rsidRPr="00894978">
              <w:rPr>
                <w:rFonts w:ascii="inherit" w:eastAsia="Times New Roman" w:hAnsi="inherit" w:cs="Times New Roman"/>
                <w:color w:val="000000"/>
                <w:lang w:eastAsia="et-EE"/>
              </w:rPr>
              <w:t> ekvivalenttonnides) renoveerimisetapis </w:t>
            </w:r>
            <w:r w:rsidRPr="00894978">
              <w:rPr>
                <w:rFonts w:ascii="inherit" w:eastAsia="Times New Roman" w:hAnsi="inherit" w:cs="Times New Roman"/>
                <w:b/>
                <w:bCs/>
                <w:color w:val="000000"/>
                <w:lang w:eastAsia="et-EE"/>
              </w:rPr>
              <w:t>&gt;</w:t>
            </w:r>
            <w:r w:rsidRPr="00894978">
              <w:rPr>
                <w:rFonts w:ascii="inherit" w:eastAsia="Times New Roman" w:hAnsi="inherit" w:cs="Times New Roman"/>
                <w:color w:val="000000"/>
                <w:lang w:eastAsia="et-EE"/>
              </w:rPr>
              <w:t> uue hoone CO</w:t>
            </w:r>
            <w:r w:rsidRPr="00894978">
              <w:rPr>
                <w:rFonts w:ascii="inherit" w:eastAsia="Times New Roman" w:hAnsi="inherit" w:cs="Times New Roman"/>
                <w:color w:val="000000"/>
                <w:sz w:val="15"/>
                <w:szCs w:val="15"/>
                <w:vertAlign w:val="subscript"/>
                <w:lang w:eastAsia="et-EE"/>
              </w:rPr>
              <w:t>2</w:t>
            </w:r>
            <w:r w:rsidRPr="00894978">
              <w:rPr>
                <w:rFonts w:ascii="inherit" w:eastAsia="Times New Roman" w:hAnsi="inherit" w:cs="Times New Roman"/>
                <w:color w:val="000000"/>
                <w:lang w:eastAsia="et-EE"/>
              </w:rPr>
              <w:t> heide (CO</w:t>
            </w:r>
            <w:r w:rsidRPr="00894978">
              <w:rPr>
                <w:rFonts w:ascii="inherit" w:eastAsia="Times New Roman" w:hAnsi="inherit" w:cs="Times New Roman"/>
                <w:color w:val="000000"/>
                <w:sz w:val="15"/>
                <w:szCs w:val="15"/>
                <w:vertAlign w:val="subscript"/>
                <w:lang w:eastAsia="et-EE"/>
              </w:rPr>
              <w:t>2</w:t>
            </w:r>
            <w:r w:rsidRPr="00894978">
              <w:rPr>
                <w:rFonts w:ascii="inherit" w:eastAsia="Times New Roman" w:hAnsi="inherit" w:cs="Times New Roman"/>
                <w:color w:val="000000"/>
                <w:lang w:eastAsia="et-EE"/>
              </w:rPr>
              <w:t> ekvivalenttonnides) sama arvu aastate jooksul + olelusringi CO</w:t>
            </w:r>
            <w:r w:rsidRPr="00894978">
              <w:rPr>
                <w:rFonts w:ascii="inherit" w:eastAsia="Times New Roman" w:hAnsi="inherit" w:cs="Times New Roman"/>
                <w:color w:val="000000"/>
                <w:sz w:val="15"/>
                <w:szCs w:val="15"/>
                <w:vertAlign w:val="subscript"/>
                <w:lang w:eastAsia="et-EE"/>
              </w:rPr>
              <w:t>2</w:t>
            </w:r>
            <w:r w:rsidRPr="00894978">
              <w:rPr>
                <w:rFonts w:ascii="inherit" w:eastAsia="Times New Roman" w:hAnsi="inherit" w:cs="Times New Roman"/>
                <w:color w:val="000000"/>
                <w:lang w:eastAsia="et-EE"/>
              </w:rPr>
              <w:t> heide (CO</w:t>
            </w:r>
            <w:r w:rsidRPr="00894978">
              <w:rPr>
                <w:rFonts w:ascii="inherit" w:eastAsia="Times New Roman" w:hAnsi="inherit" w:cs="Times New Roman"/>
                <w:color w:val="000000"/>
                <w:sz w:val="15"/>
                <w:szCs w:val="15"/>
                <w:vertAlign w:val="subscript"/>
                <w:lang w:eastAsia="et-EE"/>
              </w:rPr>
              <w:t>2</w:t>
            </w:r>
            <w:r w:rsidRPr="00894978">
              <w:rPr>
                <w:rFonts w:ascii="inherit" w:eastAsia="Times New Roman" w:hAnsi="inherit" w:cs="Times New Roman"/>
                <w:color w:val="000000"/>
                <w:lang w:eastAsia="et-EE"/>
              </w:rPr>
              <w:t> ekvivalenttonnides) lammutus- ja ehitusetapis</w:t>
            </w:r>
          </w:p>
        </w:tc>
      </w:tr>
    </w:tbl>
    <w:p w14:paraId="20FFE97D" w14:textId="77777777" w:rsidR="00B731C3" w:rsidRDefault="00B731C3" w:rsidP="00B731C3">
      <w:pPr>
        <w:pStyle w:val="muudetavtekst"/>
        <w:rPr>
          <w:rFonts w:asciiTheme="minorHAnsi" w:hAnsiTheme="minorHAnsi" w:cstheme="minorHAnsi"/>
        </w:rPr>
      </w:pPr>
    </w:p>
    <w:p w14:paraId="14AD2100" w14:textId="77777777" w:rsidR="00B731C3" w:rsidRDefault="00B731C3" w:rsidP="00B731C3">
      <w:pPr>
        <w:pStyle w:val="muudetavtekst"/>
        <w:rPr>
          <w:rFonts w:asciiTheme="minorHAnsi" w:hAnsiTheme="minorHAnsi" w:cstheme="minorBidi"/>
          <w:bCs/>
        </w:rPr>
      </w:pPr>
      <w:r w:rsidRPr="0074183B">
        <w:rPr>
          <w:bCs/>
        </w:rPr>
        <w:t>Metoodika</w:t>
      </w:r>
      <w:r>
        <w:rPr>
          <w:bCs/>
        </w:rPr>
        <w:t>,</w:t>
      </w:r>
      <w:r w:rsidRPr="0074183B">
        <w:rPr>
          <w:bCs/>
        </w:rPr>
        <w:t xml:space="preserve"> kuidas olemasolevate hoonete olelusringi nii renoveerimisel kui </w:t>
      </w:r>
      <w:r>
        <w:rPr>
          <w:bCs/>
        </w:rPr>
        <w:t xml:space="preserve">ka </w:t>
      </w:r>
      <w:r w:rsidRPr="0074183B">
        <w:rPr>
          <w:bCs/>
        </w:rPr>
        <w:t>järelejäänud hinnangulise majandusliku olelusringi arvestada</w:t>
      </w:r>
      <w:r>
        <w:rPr>
          <w:bCs/>
        </w:rPr>
        <w:t>,</w:t>
      </w:r>
      <w:r w:rsidRPr="0074183B">
        <w:rPr>
          <w:bCs/>
        </w:rPr>
        <w:t xml:space="preserve"> töötab välja Kliimaministeerium.</w:t>
      </w:r>
    </w:p>
    <w:p w14:paraId="50D7C681" w14:textId="77777777" w:rsidR="00B731C3" w:rsidRDefault="00B731C3" w:rsidP="00B731C3">
      <w:pPr>
        <w:pStyle w:val="muudetavtekst"/>
        <w:rPr>
          <w:rFonts w:asciiTheme="minorHAnsi" w:hAnsiTheme="minorHAnsi" w:cstheme="minorHAnsi"/>
        </w:rPr>
      </w:pPr>
    </w:p>
    <w:p w14:paraId="00E723F9" w14:textId="77777777" w:rsidR="00B731C3" w:rsidRDefault="00B731C3" w:rsidP="00B731C3">
      <w:pPr>
        <w:pStyle w:val="muudetavtekst"/>
        <w:rPr>
          <w:rFonts w:asciiTheme="minorHAnsi" w:hAnsiTheme="minorHAnsi" w:cstheme="minorBidi"/>
        </w:rPr>
      </w:pPr>
      <w:r w:rsidRPr="490A73E8">
        <w:rPr>
          <w:rFonts w:asciiTheme="minorHAnsi" w:hAnsiTheme="minorHAnsi" w:cstheme="minorBidi"/>
          <w:b/>
          <w:bCs/>
        </w:rPr>
        <w:t xml:space="preserve">Punktiga </w:t>
      </w:r>
      <w:r>
        <w:rPr>
          <w:rFonts w:asciiTheme="minorHAnsi" w:hAnsiTheme="minorHAnsi" w:cstheme="minorBidi"/>
          <w:b/>
          <w:bCs/>
        </w:rPr>
        <w:t>24</w:t>
      </w:r>
      <w:r w:rsidRPr="490A73E8">
        <w:rPr>
          <w:rFonts w:asciiTheme="minorHAnsi" w:hAnsiTheme="minorHAnsi" w:cstheme="minorBidi"/>
        </w:rPr>
        <w:t xml:space="preserve"> lisatakse EnKS</w:t>
      </w:r>
      <w:r>
        <w:rPr>
          <w:rFonts w:asciiTheme="minorHAnsi" w:hAnsiTheme="minorHAnsi" w:cstheme="minorBidi"/>
        </w:rPr>
        <w:t>i</w:t>
      </w:r>
      <w:r w:rsidRPr="490A73E8">
        <w:rPr>
          <w:rFonts w:asciiTheme="minorHAnsi" w:hAnsiTheme="minorHAnsi" w:cstheme="minorBidi"/>
        </w:rPr>
        <w:t xml:space="preserve"> </w:t>
      </w:r>
      <w:r w:rsidRPr="005106DA">
        <w:rPr>
          <w:rFonts w:asciiTheme="minorHAnsi" w:hAnsiTheme="minorHAnsi" w:cstheme="minorBidi"/>
        </w:rPr>
        <w:t>§</w:t>
      </w:r>
      <w:r w:rsidRPr="490A73E8">
        <w:rPr>
          <w:rFonts w:asciiTheme="minorHAnsi" w:hAnsiTheme="minorHAnsi" w:cstheme="minorBidi"/>
        </w:rPr>
        <w:t xml:space="preserve"> 5 lõi</w:t>
      </w:r>
      <w:r>
        <w:rPr>
          <w:rFonts w:asciiTheme="minorHAnsi" w:hAnsiTheme="minorHAnsi" w:cstheme="minorBidi"/>
        </w:rPr>
        <w:t xml:space="preserve">ge </w:t>
      </w:r>
      <w:r w:rsidRPr="490A73E8">
        <w:rPr>
          <w:rFonts w:asciiTheme="minorHAnsi" w:hAnsiTheme="minorHAnsi" w:cstheme="minorBidi"/>
        </w:rPr>
        <w:t>6</w:t>
      </w:r>
      <w:r w:rsidRPr="490A73E8">
        <w:rPr>
          <w:rFonts w:asciiTheme="minorHAnsi" w:hAnsiTheme="minorHAnsi" w:cstheme="minorBidi"/>
          <w:vertAlign w:val="superscript"/>
        </w:rPr>
        <w:t>1</w:t>
      </w:r>
      <w:r w:rsidRPr="490A73E8">
        <w:rPr>
          <w:rFonts w:asciiTheme="minorHAnsi" w:hAnsiTheme="minorHAnsi" w:cstheme="minorBidi"/>
        </w:rPr>
        <w:t xml:space="preserve">, </w:t>
      </w:r>
      <w:r w:rsidRPr="002D3CEE">
        <w:rPr>
          <w:rFonts w:asciiTheme="minorHAnsi" w:hAnsiTheme="minorHAnsi" w:cstheme="minorBidi"/>
        </w:rPr>
        <w:t>mis annab volitusnormi metoodika koostamiseks</w:t>
      </w:r>
      <w:r w:rsidRPr="490A73E8">
        <w:rPr>
          <w:rFonts w:asciiTheme="minorHAnsi" w:hAnsiTheme="minorHAnsi" w:cstheme="minorBidi"/>
        </w:rPr>
        <w:t>, kuidas arvutada olemasoleva hoone olelusringi CO</w:t>
      </w:r>
      <w:r w:rsidRPr="00CD7240">
        <w:rPr>
          <w:rFonts w:asciiTheme="minorHAnsi" w:hAnsiTheme="minorHAnsi" w:cstheme="minorBidi"/>
          <w:vertAlign w:val="subscript"/>
        </w:rPr>
        <w:t>2</w:t>
      </w:r>
      <w:r w:rsidRPr="490A73E8">
        <w:rPr>
          <w:rFonts w:asciiTheme="minorHAnsi" w:hAnsiTheme="minorHAnsi" w:cstheme="minorBidi"/>
        </w:rPr>
        <w:t>.</w:t>
      </w:r>
    </w:p>
    <w:p w14:paraId="3E5BCA85" w14:textId="77777777" w:rsidR="00B731C3" w:rsidRDefault="00B731C3" w:rsidP="00B731C3">
      <w:pPr>
        <w:pStyle w:val="muudetavtekst"/>
        <w:rPr>
          <w:rFonts w:asciiTheme="minorHAnsi" w:hAnsiTheme="minorHAnsi" w:cstheme="minorHAnsi"/>
        </w:rPr>
      </w:pPr>
    </w:p>
    <w:p w14:paraId="62751998" w14:textId="77777777" w:rsidR="00B731C3" w:rsidRDefault="00B731C3" w:rsidP="00B731C3">
      <w:pPr>
        <w:pStyle w:val="muudetavtekst"/>
        <w:rPr>
          <w:rFonts w:asciiTheme="minorHAnsi" w:hAnsiTheme="minorHAnsi" w:cstheme="minorBidi"/>
        </w:rPr>
      </w:pPr>
      <w:r w:rsidRPr="490A73E8">
        <w:rPr>
          <w:rFonts w:asciiTheme="minorHAnsi" w:hAnsiTheme="minorHAnsi" w:cstheme="minorBidi"/>
          <w:b/>
          <w:bCs/>
        </w:rPr>
        <w:t xml:space="preserve">Punktiga </w:t>
      </w:r>
      <w:r>
        <w:rPr>
          <w:rFonts w:asciiTheme="minorHAnsi" w:hAnsiTheme="minorHAnsi" w:cstheme="minorBidi"/>
          <w:b/>
          <w:bCs/>
        </w:rPr>
        <w:t>25</w:t>
      </w:r>
      <w:r w:rsidRPr="490A73E8">
        <w:rPr>
          <w:rFonts w:asciiTheme="minorHAnsi" w:hAnsiTheme="minorHAnsi" w:cstheme="minorBidi"/>
        </w:rPr>
        <w:t xml:space="preserve"> muudetakse EnKS</w:t>
      </w:r>
      <w:r>
        <w:rPr>
          <w:rFonts w:asciiTheme="minorHAnsi" w:hAnsiTheme="minorHAnsi" w:cstheme="minorBidi"/>
        </w:rPr>
        <w:t>i</w:t>
      </w:r>
      <w:r w:rsidRPr="490A73E8">
        <w:rPr>
          <w:rFonts w:asciiTheme="minorHAnsi" w:hAnsiTheme="minorHAnsi" w:cstheme="minorBidi"/>
        </w:rPr>
        <w:t xml:space="preserve"> </w:t>
      </w:r>
      <w:r w:rsidRPr="005106DA">
        <w:rPr>
          <w:rFonts w:asciiTheme="minorHAnsi" w:hAnsiTheme="minorHAnsi" w:cstheme="minorBidi"/>
        </w:rPr>
        <w:t>§</w:t>
      </w:r>
      <w:r w:rsidRPr="490A73E8">
        <w:rPr>
          <w:rFonts w:asciiTheme="minorHAnsi" w:hAnsiTheme="minorHAnsi" w:cstheme="minorBidi"/>
        </w:rPr>
        <w:t xml:space="preserve"> 5 lõiget 7. </w:t>
      </w:r>
      <w:r>
        <w:rPr>
          <w:rFonts w:asciiTheme="minorHAnsi" w:hAnsiTheme="minorHAnsi" w:cstheme="minorBidi"/>
        </w:rPr>
        <w:t xml:space="preserve">Lõikega võetakse üle direktiivi artikkel 6 lõige 5. </w:t>
      </w:r>
      <w:r w:rsidRPr="490A73E8">
        <w:rPr>
          <w:rFonts w:asciiTheme="minorHAnsi" w:hAnsiTheme="minorHAnsi" w:cstheme="minorBidi"/>
        </w:rPr>
        <w:t xml:space="preserve">Muudatuse eesmärk on täpsustada, mida sisaldab avaliku sektori asutuste hoonete inventuur ja asjaolu, et selle koostab avaliku sektori energiatõhususe koordinaator (TTJA). </w:t>
      </w:r>
    </w:p>
    <w:p w14:paraId="4163DA40" w14:textId="77777777" w:rsidR="00B731C3" w:rsidRDefault="00B731C3" w:rsidP="00B731C3">
      <w:pPr>
        <w:pStyle w:val="muudetavtekst"/>
        <w:rPr>
          <w:rFonts w:asciiTheme="minorHAnsi" w:hAnsiTheme="minorHAnsi" w:cstheme="minorBidi"/>
        </w:rPr>
      </w:pPr>
      <w:r w:rsidRPr="490A73E8">
        <w:rPr>
          <w:rFonts w:asciiTheme="minorHAnsi" w:hAnsiTheme="minorHAnsi" w:cstheme="minorBidi"/>
        </w:rPr>
        <w:t xml:space="preserve">Osaliselt on </w:t>
      </w:r>
      <w:r>
        <w:rPr>
          <w:rFonts w:asciiTheme="minorHAnsi" w:hAnsiTheme="minorHAnsi" w:cstheme="minorBidi"/>
        </w:rPr>
        <w:t>eelnõu</w:t>
      </w:r>
      <w:r w:rsidRPr="490A73E8">
        <w:rPr>
          <w:rFonts w:asciiTheme="minorHAnsi" w:hAnsiTheme="minorHAnsi" w:cstheme="minorBidi"/>
        </w:rPr>
        <w:t xml:space="preserve"> mõjuanalüüsi osaks avaliku sektori asutuste hoonete inventuur juba olemas, kuid seda tuleb ehitisregistri andmete</w:t>
      </w:r>
      <w:r>
        <w:rPr>
          <w:rFonts w:asciiTheme="minorHAnsi" w:hAnsiTheme="minorHAnsi" w:cstheme="minorBidi"/>
        </w:rPr>
        <w:t xml:space="preserve"> alusel</w:t>
      </w:r>
      <w:r w:rsidRPr="490A73E8">
        <w:rPr>
          <w:rFonts w:asciiTheme="minorHAnsi" w:hAnsiTheme="minorHAnsi" w:cstheme="minorBidi"/>
        </w:rPr>
        <w:t xml:space="preserve"> veel </w:t>
      </w:r>
      <w:r>
        <w:rPr>
          <w:rFonts w:asciiTheme="minorHAnsi" w:hAnsiTheme="minorHAnsi" w:cstheme="minorBidi"/>
        </w:rPr>
        <w:t>täpsustada ja ajakohastada</w:t>
      </w:r>
      <w:r w:rsidRPr="490A73E8">
        <w:rPr>
          <w:rFonts w:asciiTheme="minorHAnsi" w:hAnsiTheme="minorHAnsi" w:cstheme="minorBidi"/>
        </w:rPr>
        <w:t xml:space="preserve">. Oluline on, et </w:t>
      </w:r>
      <w:r w:rsidRPr="490A73E8">
        <w:rPr>
          <w:rFonts w:asciiTheme="minorHAnsi" w:hAnsiTheme="minorHAnsi" w:cstheme="minorBidi"/>
        </w:rPr>
        <w:lastRenderedPageBreak/>
        <w:t>ehitisregistrina on olemas hea platvorm</w:t>
      </w:r>
      <w:r>
        <w:rPr>
          <w:rFonts w:asciiTheme="minorHAnsi" w:hAnsiTheme="minorHAnsi" w:cstheme="minorBidi"/>
        </w:rPr>
        <w:t>,</w:t>
      </w:r>
      <w:r w:rsidRPr="490A73E8">
        <w:rPr>
          <w:rFonts w:asciiTheme="minorHAnsi" w:hAnsiTheme="minorHAnsi" w:cstheme="minorBidi"/>
        </w:rPr>
        <w:t xml:space="preserve"> kus tulevikus ka avaliku sektori asutuste hoonete inventuur avaldada.</w:t>
      </w:r>
    </w:p>
    <w:p w14:paraId="2EB890A8" w14:textId="77777777" w:rsidR="00B731C3" w:rsidRDefault="00B731C3" w:rsidP="00B731C3">
      <w:pPr>
        <w:pStyle w:val="muudetavtekst"/>
        <w:rPr>
          <w:rFonts w:asciiTheme="minorHAnsi" w:hAnsiTheme="minorHAnsi" w:cstheme="minorHAnsi"/>
        </w:rPr>
      </w:pPr>
    </w:p>
    <w:p w14:paraId="79925AD7" w14:textId="77777777" w:rsidR="00B731C3" w:rsidRDefault="00B731C3" w:rsidP="00B731C3">
      <w:pPr>
        <w:pStyle w:val="muudetavtekst"/>
        <w:rPr>
          <w:rFonts w:asciiTheme="minorHAnsi" w:hAnsiTheme="minorHAnsi" w:cstheme="minorBidi"/>
          <w:bCs/>
        </w:rPr>
      </w:pPr>
      <w:r w:rsidRPr="00CD7240">
        <w:rPr>
          <w:rFonts w:asciiTheme="minorHAnsi" w:hAnsiTheme="minorHAnsi" w:cstheme="minorBidi"/>
          <w:bCs/>
          <w:u w:val="single"/>
        </w:rPr>
        <w:t>Avaliku sektori hoonete inventuur</w:t>
      </w:r>
    </w:p>
    <w:p w14:paraId="7EB3D3D3" w14:textId="77777777" w:rsidR="00B731C3" w:rsidRDefault="00B731C3" w:rsidP="00B731C3">
      <w:pPr>
        <w:pStyle w:val="muudetavtekst"/>
        <w:rPr>
          <w:rFonts w:asciiTheme="minorHAnsi" w:hAnsiTheme="minorHAnsi" w:cstheme="minorBidi"/>
          <w:bCs/>
        </w:rPr>
      </w:pPr>
      <w:r>
        <w:rPr>
          <w:rFonts w:asciiTheme="minorHAnsi" w:hAnsiTheme="minorHAnsi" w:cstheme="minorBidi"/>
          <w:bCs/>
        </w:rPr>
        <w:t>Avaliku sektori energiatõhususe koordinaator peab hiljemalt 11. oktoobril 2025 koostama ja avaldama avaliku sektori hoonete inventuuri andmed.</w:t>
      </w:r>
    </w:p>
    <w:p w14:paraId="53D2513E" w14:textId="77777777" w:rsidR="00B731C3" w:rsidRDefault="00B731C3" w:rsidP="00B731C3">
      <w:pPr>
        <w:pStyle w:val="muudetavtekst"/>
        <w:rPr>
          <w:rFonts w:asciiTheme="minorHAnsi" w:hAnsiTheme="minorHAnsi" w:cstheme="minorBidi"/>
        </w:rPr>
      </w:pPr>
      <w:r>
        <w:rPr>
          <w:rFonts w:asciiTheme="minorHAnsi" w:hAnsiTheme="minorHAnsi" w:cstheme="minorBidi"/>
          <w:bCs/>
        </w:rPr>
        <w:t>Inventuur tehakse kõikides avaliku sektori hoonetes, nii omanduses kui ka kasutuses (üüritud pinnad), mille kasulik üldpõrandapind on suurem kui 250m</w:t>
      </w:r>
      <w:r>
        <w:rPr>
          <w:rFonts w:asciiTheme="minorHAnsi" w:hAnsiTheme="minorHAnsi" w:cstheme="minorBidi"/>
          <w:bCs/>
          <w:vertAlign w:val="superscript"/>
        </w:rPr>
        <w:t>2</w:t>
      </w:r>
      <w:r>
        <w:rPr>
          <w:rFonts w:asciiTheme="minorHAnsi" w:hAnsiTheme="minorHAnsi" w:cstheme="minorBidi"/>
          <w:bCs/>
        </w:rPr>
        <w:t>.</w:t>
      </w:r>
      <w:r w:rsidRPr="6C77E38F">
        <w:rPr>
          <w:rFonts w:asciiTheme="minorHAnsi" w:hAnsiTheme="minorHAnsi" w:cstheme="minorBidi"/>
        </w:rPr>
        <w:t>Inventuur peab sisaldama iga hoone põrandapinda ruutmeetrites, energiamärgist ja kütte, jahutuse, elektrienergia ja sooja veega seotud aastast mõõdetud energiatarbimist</w:t>
      </w:r>
      <w:r>
        <w:rPr>
          <w:rFonts w:asciiTheme="minorHAnsi" w:hAnsiTheme="minorHAnsi" w:cstheme="minorBidi"/>
        </w:rPr>
        <w:t>,</w:t>
      </w:r>
      <w:r w:rsidRPr="6C77E38F">
        <w:rPr>
          <w:rFonts w:asciiTheme="minorHAnsi" w:hAnsiTheme="minorHAnsi" w:cstheme="minorBidi"/>
        </w:rPr>
        <w:t xml:space="preserve"> kui need andmed on kättesaadavad. Inventuuri ajakohastatakse vähemalt iga kahe aasta tagant.</w:t>
      </w:r>
    </w:p>
    <w:p w14:paraId="4683A0A6" w14:textId="77777777" w:rsidR="00B731C3" w:rsidRDefault="00B731C3" w:rsidP="00B731C3">
      <w:pPr>
        <w:pStyle w:val="muudetavtekst"/>
        <w:rPr>
          <w:rFonts w:asciiTheme="minorHAnsi" w:hAnsiTheme="minorHAnsi" w:cstheme="minorBidi"/>
        </w:rPr>
      </w:pPr>
      <w:r>
        <w:rPr>
          <w:rFonts w:asciiTheme="minorHAnsi" w:hAnsiTheme="minorHAnsi" w:cstheme="minorBidi"/>
        </w:rPr>
        <w:t>T</w:t>
      </w:r>
      <w:r w:rsidRPr="6C77E38F">
        <w:rPr>
          <w:rFonts w:asciiTheme="minorHAnsi" w:hAnsiTheme="minorHAnsi" w:cstheme="minorBidi"/>
        </w:rPr>
        <w:t xml:space="preserve">abelis </w:t>
      </w:r>
      <w:r>
        <w:rPr>
          <w:rFonts w:asciiTheme="minorHAnsi" w:hAnsiTheme="minorHAnsi" w:cstheme="minorBidi"/>
        </w:rPr>
        <w:t>13</w:t>
      </w:r>
      <w:r w:rsidRPr="6C77E38F">
        <w:rPr>
          <w:rFonts w:asciiTheme="minorHAnsi" w:hAnsiTheme="minorHAnsi" w:cstheme="minorBidi"/>
        </w:rPr>
        <w:t xml:space="preserve"> on toodud näitena, mida inventuur peaks </w:t>
      </w:r>
      <w:r>
        <w:rPr>
          <w:rFonts w:asciiTheme="minorHAnsi" w:hAnsiTheme="minorHAnsi" w:cstheme="minorBidi"/>
        </w:rPr>
        <w:t xml:space="preserve">ja võiks </w:t>
      </w:r>
      <w:r w:rsidRPr="6C77E38F">
        <w:rPr>
          <w:rFonts w:asciiTheme="minorHAnsi" w:hAnsiTheme="minorHAnsi" w:cstheme="minorBidi"/>
        </w:rPr>
        <w:t>sisaldama.</w:t>
      </w:r>
    </w:p>
    <w:p w14:paraId="42B6D413" w14:textId="77777777" w:rsidR="00B731C3" w:rsidRDefault="00B731C3" w:rsidP="00B731C3">
      <w:pPr>
        <w:pStyle w:val="muudetavtekst"/>
        <w:rPr>
          <w:rFonts w:asciiTheme="minorHAnsi" w:hAnsiTheme="minorHAnsi" w:cstheme="minorBidi"/>
        </w:rPr>
      </w:pPr>
    </w:p>
    <w:p w14:paraId="7AF2B996" w14:textId="77777777" w:rsidR="00B731C3" w:rsidRPr="004B20E7" w:rsidRDefault="00B731C3" w:rsidP="00B731C3">
      <w:pPr>
        <w:pStyle w:val="muudetavtekst"/>
        <w:rPr>
          <w:color w:val="000000"/>
        </w:rPr>
      </w:pPr>
      <w:r>
        <w:rPr>
          <w:rFonts w:asciiTheme="minorHAnsi" w:hAnsiTheme="minorHAnsi" w:cstheme="minorBidi"/>
        </w:rPr>
        <w:t xml:space="preserve">Tabel 13. Avaliku sektori asutuste hoonete </w:t>
      </w:r>
      <w:r>
        <w:rPr>
          <w:rFonts w:ascii="inherit" w:hAnsi="inherit"/>
          <w:color w:val="000000" w:themeColor="text1"/>
        </w:rPr>
        <w:t>i</w:t>
      </w:r>
      <w:r w:rsidRPr="6C77E38F">
        <w:rPr>
          <w:rFonts w:ascii="inherit" w:hAnsi="inherit"/>
          <w:color w:val="000000" w:themeColor="text1"/>
        </w:rPr>
        <w:t>nventuuri andmete kokkuvõte</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3700"/>
        <w:gridCol w:w="5356"/>
      </w:tblGrid>
      <w:tr w:rsidR="00B731C3" w:rsidRPr="004B20E7" w14:paraId="5F9D2504" w14:textId="77777777" w:rsidTr="00A13E67">
        <w:tc>
          <w:tcPr>
            <w:tcW w:w="2043" w:type="pct"/>
            <w:tcBorders>
              <w:top w:val="single" w:sz="6" w:space="0" w:color="000000"/>
              <w:left w:val="single" w:sz="6" w:space="0" w:color="000000"/>
              <w:bottom w:val="single" w:sz="6" w:space="0" w:color="000000"/>
              <w:right w:val="single" w:sz="6" w:space="0" w:color="000000"/>
            </w:tcBorders>
            <w:shd w:val="clear" w:color="auto" w:fill="FFFFFF"/>
          </w:tcPr>
          <w:p w14:paraId="4CC6A3C8" w14:textId="77777777" w:rsidR="00B731C3" w:rsidRPr="004B20E7" w:rsidRDefault="00B731C3" w:rsidP="00A13E67">
            <w:pPr>
              <w:spacing w:after="0" w:line="240" w:lineRule="auto"/>
              <w:ind w:right="195"/>
              <w:jc w:val="center"/>
              <w:rPr>
                <w:rFonts w:ascii="inherit" w:eastAsia="Times New Roman" w:hAnsi="inherit" w:cs="Times New Roman"/>
                <w:b/>
                <w:bCs/>
                <w:color w:val="000000"/>
                <w:lang w:eastAsia="et-EE"/>
              </w:rPr>
            </w:pPr>
            <w:r w:rsidRPr="004B20E7">
              <w:rPr>
                <w:rFonts w:ascii="inherit" w:eastAsia="Times New Roman" w:hAnsi="inherit" w:cs="Times New Roman"/>
                <w:b/>
                <w:bCs/>
                <w:color w:val="000000"/>
                <w:lang w:eastAsia="et-EE"/>
              </w:rPr>
              <w:t>Andmed</w:t>
            </w:r>
          </w:p>
        </w:tc>
        <w:tc>
          <w:tcPr>
            <w:tcW w:w="2957" w:type="pct"/>
            <w:tcBorders>
              <w:top w:val="single" w:sz="6" w:space="0" w:color="000000"/>
              <w:left w:val="single" w:sz="6" w:space="0" w:color="000000"/>
              <w:bottom w:val="single" w:sz="6" w:space="0" w:color="000000"/>
              <w:right w:val="single" w:sz="6" w:space="0" w:color="000000"/>
            </w:tcBorders>
            <w:shd w:val="clear" w:color="auto" w:fill="FFFFFF"/>
            <w:hideMark/>
          </w:tcPr>
          <w:p w14:paraId="7B8605E5" w14:textId="77777777" w:rsidR="00B731C3" w:rsidRPr="004B20E7" w:rsidRDefault="00B731C3" w:rsidP="00A13E67">
            <w:pPr>
              <w:spacing w:after="0" w:line="240" w:lineRule="auto"/>
              <w:ind w:right="195"/>
              <w:jc w:val="center"/>
              <w:rPr>
                <w:rFonts w:ascii="inherit" w:eastAsia="Times New Roman" w:hAnsi="inherit" w:cs="Times New Roman"/>
                <w:b/>
                <w:bCs/>
                <w:color w:val="000000"/>
                <w:lang w:eastAsia="et-EE"/>
              </w:rPr>
            </w:pPr>
            <w:r w:rsidRPr="004B20E7">
              <w:rPr>
                <w:rFonts w:ascii="inherit" w:eastAsia="Times New Roman" w:hAnsi="inherit" w:cs="Times New Roman"/>
                <w:b/>
                <w:bCs/>
                <w:color w:val="000000"/>
                <w:lang w:eastAsia="et-EE"/>
              </w:rPr>
              <w:t>Liik</w:t>
            </w:r>
          </w:p>
        </w:tc>
      </w:tr>
      <w:tr w:rsidR="00B731C3" w:rsidRPr="004B20E7" w14:paraId="4E2A187A" w14:textId="77777777" w:rsidTr="00A13E67">
        <w:tc>
          <w:tcPr>
            <w:tcW w:w="2043" w:type="pct"/>
            <w:tcBorders>
              <w:top w:val="single" w:sz="6" w:space="0" w:color="000000"/>
              <w:left w:val="single" w:sz="6" w:space="0" w:color="000000"/>
              <w:bottom w:val="single" w:sz="6" w:space="0" w:color="000000"/>
              <w:right w:val="single" w:sz="6" w:space="0" w:color="000000"/>
            </w:tcBorders>
            <w:shd w:val="clear" w:color="auto" w:fill="FFFFFF"/>
          </w:tcPr>
          <w:p w14:paraId="2AA1E9FD" w14:textId="77777777" w:rsidR="00B731C3" w:rsidRPr="004B20E7" w:rsidRDefault="00B731C3" w:rsidP="00A13E67">
            <w:pPr>
              <w:spacing w:after="0" w:line="240" w:lineRule="auto"/>
              <w:rPr>
                <w:rFonts w:ascii="inherit" w:eastAsia="Times New Roman" w:hAnsi="inherit" w:cs="Times New Roman"/>
                <w:color w:val="000000"/>
                <w:lang w:eastAsia="et-EE"/>
              </w:rPr>
            </w:pPr>
            <w:r w:rsidRPr="004B20E7">
              <w:rPr>
                <w:rFonts w:ascii="inherit" w:eastAsia="Times New Roman" w:hAnsi="inherit" w:cs="Times New Roman"/>
                <w:color w:val="000000"/>
                <w:lang w:eastAsia="et-EE"/>
              </w:rPr>
              <w:t>Põrandapind</w:t>
            </w:r>
          </w:p>
          <w:p w14:paraId="209A5917" w14:textId="77777777" w:rsidR="00B731C3" w:rsidRPr="004B20E7" w:rsidRDefault="00B731C3" w:rsidP="00A13E67">
            <w:pPr>
              <w:spacing w:after="0" w:line="240" w:lineRule="auto"/>
              <w:rPr>
                <w:rFonts w:ascii="inherit" w:eastAsia="Times New Roman" w:hAnsi="inherit" w:cs="Times New Roman"/>
                <w:color w:val="000000"/>
                <w:lang w:eastAsia="et-EE"/>
              </w:rPr>
            </w:pPr>
            <w:r w:rsidRPr="004B20E7">
              <w:rPr>
                <w:rFonts w:ascii="inherit" w:eastAsia="Times New Roman" w:hAnsi="inherit" w:cs="Times New Roman"/>
                <w:color w:val="000000"/>
                <w:lang w:eastAsia="et-EE"/>
              </w:rPr>
              <w:t>Energiamärgis</w:t>
            </w:r>
          </w:p>
        </w:tc>
        <w:tc>
          <w:tcPr>
            <w:tcW w:w="2957" w:type="pct"/>
            <w:tcBorders>
              <w:top w:val="single" w:sz="6" w:space="0" w:color="000000"/>
              <w:left w:val="single" w:sz="6" w:space="0" w:color="000000"/>
              <w:bottom w:val="single" w:sz="6" w:space="0" w:color="000000"/>
              <w:right w:val="single" w:sz="6" w:space="0" w:color="000000"/>
            </w:tcBorders>
            <w:shd w:val="clear" w:color="auto" w:fill="FFFFFF"/>
            <w:hideMark/>
          </w:tcPr>
          <w:p w14:paraId="5C589A73" w14:textId="77777777" w:rsidR="00B731C3" w:rsidRPr="004B20E7" w:rsidRDefault="00B731C3" w:rsidP="00A13E67">
            <w:pPr>
              <w:spacing w:after="0" w:line="240" w:lineRule="auto"/>
              <w:rPr>
                <w:rFonts w:ascii="inherit" w:eastAsia="Times New Roman" w:hAnsi="inherit" w:cs="Times New Roman"/>
                <w:color w:val="000000"/>
                <w:lang w:eastAsia="et-EE"/>
              </w:rPr>
            </w:pPr>
            <w:r w:rsidRPr="004B20E7">
              <w:rPr>
                <w:rFonts w:ascii="inherit" w:eastAsia="Times New Roman" w:hAnsi="inherit" w:cs="Times New Roman"/>
                <w:color w:val="000000"/>
                <w:lang w:eastAsia="et-EE"/>
              </w:rPr>
              <w:t xml:space="preserve">Kogumine ja üldsusele kättesaadavaks tegemine on </w:t>
            </w:r>
            <w:r w:rsidRPr="00425F83">
              <w:rPr>
                <w:rFonts w:ascii="inherit" w:eastAsia="Times New Roman" w:hAnsi="inherit" w:cs="Times New Roman"/>
                <w:b/>
                <w:bCs/>
                <w:color w:val="000000"/>
                <w:lang w:eastAsia="et-EE"/>
              </w:rPr>
              <w:t>kohustuslik</w:t>
            </w:r>
          </w:p>
        </w:tc>
      </w:tr>
      <w:tr w:rsidR="00B731C3" w:rsidRPr="004B20E7" w14:paraId="483F4F4F" w14:textId="77777777" w:rsidTr="00A13E67">
        <w:tc>
          <w:tcPr>
            <w:tcW w:w="2043" w:type="pct"/>
            <w:tcBorders>
              <w:top w:val="single" w:sz="6" w:space="0" w:color="000000"/>
              <w:left w:val="single" w:sz="6" w:space="0" w:color="000000"/>
              <w:bottom w:val="single" w:sz="6" w:space="0" w:color="000000"/>
              <w:right w:val="single" w:sz="6" w:space="0" w:color="000000"/>
            </w:tcBorders>
            <w:shd w:val="clear" w:color="auto" w:fill="FFFFFF"/>
          </w:tcPr>
          <w:p w14:paraId="3FF9CCF9" w14:textId="77777777" w:rsidR="00B731C3" w:rsidRPr="004B20E7" w:rsidRDefault="00B731C3" w:rsidP="00A13E67">
            <w:pPr>
              <w:spacing w:after="0" w:line="240" w:lineRule="auto"/>
              <w:rPr>
                <w:rFonts w:ascii="inherit" w:eastAsia="Times New Roman" w:hAnsi="inherit" w:cs="Times New Roman"/>
                <w:color w:val="000000"/>
                <w:lang w:eastAsia="et-EE"/>
              </w:rPr>
            </w:pPr>
            <w:r w:rsidRPr="004B20E7">
              <w:rPr>
                <w:rFonts w:ascii="inherit" w:eastAsia="Times New Roman" w:hAnsi="inherit" w:cs="Times New Roman"/>
                <w:color w:val="000000"/>
                <w:lang w:eastAsia="et-EE"/>
              </w:rPr>
              <w:t>Soojuse, jahutuse, elektrienergia ja sooja vee mõõdetud tarbimine</w:t>
            </w:r>
          </w:p>
        </w:tc>
        <w:tc>
          <w:tcPr>
            <w:tcW w:w="2957" w:type="pct"/>
            <w:tcBorders>
              <w:top w:val="single" w:sz="6" w:space="0" w:color="000000"/>
              <w:left w:val="single" w:sz="6" w:space="0" w:color="000000"/>
              <w:bottom w:val="single" w:sz="6" w:space="0" w:color="000000"/>
              <w:right w:val="single" w:sz="6" w:space="0" w:color="000000"/>
            </w:tcBorders>
            <w:shd w:val="clear" w:color="auto" w:fill="FFFFFF"/>
            <w:hideMark/>
          </w:tcPr>
          <w:p w14:paraId="6D393F53" w14:textId="77777777" w:rsidR="00B731C3" w:rsidRPr="004B20E7" w:rsidRDefault="00B731C3" w:rsidP="00A13E67">
            <w:pPr>
              <w:spacing w:after="0" w:line="240" w:lineRule="auto"/>
              <w:rPr>
                <w:rFonts w:ascii="inherit" w:eastAsia="Times New Roman" w:hAnsi="inherit" w:cs="Times New Roman"/>
                <w:color w:val="000000"/>
                <w:lang w:eastAsia="et-EE"/>
              </w:rPr>
            </w:pPr>
            <w:r w:rsidRPr="004B20E7">
              <w:rPr>
                <w:rFonts w:ascii="inherit" w:eastAsia="Times New Roman" w:hAnsi="inherit" w:cs="Times New Roman"/>
                <w:color w:val="000000"/>
                <w:lang w:eastAsia="et-EE"/>
              </w:rPr>
              <w:t xml:space="preserve">Kogumine ja üldsusele kättesaadavaks tegemine on </w:t>
            </w:r>
            <w:r w:rsidRPr="00425F83">
              <w:rPr>
                <w:rFonts w:ascii="inherit" w:eastAsia="Times New Roman" w:hAnsi="inherit" w:cs="Times New Roman"/>
                <w:b/>
                <w:bCs/>
                <w:color w:val="000000"/>
                <w:lang w:eastAsia="et-EE"/>
              </w:rPr>
              <w:t>kohustuslik,</w:t>
            </w:r>
            <w:r w:rsidRPr="004B20E7">
              <w:rPr>
                <w:rFonts w:ascii="inherit" w:eastAsia="Times New Roman" w:hAnsi="inherit" w:cs="Times New Roman"/>
                <w:color w:val="000000"/>
                <w:lang w:eastAsia="et-EE"/>
              </w:rPr>
              <w:t xml:space="preserve"> </w:t>
            </w:r>
            <w:r w:rsidRPr="00425F83">
              <w:rPr>
                <w:rFonts w:ascii="inherit" w:eastAsia="Times New Roman" w:hAnsi="inherit" w:cs="Times New Roman"/>
                <w:b/>
                <w:bCs/>
                <w:color w:val="000000"/>
                <w:lang w:eastAsia="et-EE"/>
              </w:rPr>
              <w:t>kui teave on kättesaadav</w:t>
            </w:r>
          </w:p>
        </w:tc>
      </w:tr>
      <w:tr w:rsidR="00B731C3" w:rsidRPr="004B20E7" w14:paraId="520E9670" w14:textId="77777777" w:rsidTr="00A13E67">
        <w:tc>
          <w:tcPr>
            <w:tcW w:w="2043" w:type="pct"/>
            <w:tcBorders>
              <w:top w:val="single" w:sz="6" w:space="0" w:color="000000"/>
              <w:left w:val="single" w:sz="6" w:space="0" w:color="000000"/>
              <w:bottom w:val="single" w:sz="6" w:space="0" w:color="000000"/>
              <w:right w:val="single" w:sz="6" w:space="0" w:color="000000"/>
            </w:tcBorders>
            <w:shd w:val="clear" w:color="auto" w:fill="FFFFFF"/>
          </w:tcPr>
          <w:p w14:paraId="3FD262CA" w14:textId="77777777" w:rsidR="00B731C3" w:rsidRPr="004B20E7" w:rsidRDefault="00B731C3" w:rsidP="00A13E67">
            <w:pPr>
              <w:spacing w:after="0" w:line="240" w:lineRule="auto"/>
              <w:rPr>
                <w:rFonts w:ascii="inherit" w:eastAsia="Times New Roman" w:hAnsi="inherit" w:cs="Times New Roman"/>
                <w:color w:val="000000"/>
                <w:lang w:eastAsia="et-EE"/>
              </w:rPr>
            </w:pPr>
            <w:r w:rsidRPr="004B20E7">
              <w:rPr>
                <w:rFonts w:ascii="inherit" w:eastAsia="Times New Roman" w:hAnsi="inherit" w:cs="Times New Roman"/>
                <w:color w:val="000000"/>
                <w:lang w:eastAsia="et-EE"/>
              </w:rPr>
              <w:t>Hoones asuv avaliku sektori asutus</w:t>
            </w:r>
          </w:p>
          <w:p w14:paraId="0524B81A" w14:textId="77777777" w:rsidR="00B731C3" w:rsidRPr="004B20E7" w:rsidRDefault="00B731C3" w:rsidP="00A13E67">
            <w:pPr>
              <w:spacing w:after="0" w:line="240" w:lineRule="auto"/>
              <w:rPr>
                <w:rFonts w:ascii="inherit" w:eastAsia="Times New Roman" w:hAnsi="inherit" w:cs="Times New Roman"/>
                <w:color w:val="000000"/>
                <w:lang w:eastAsia="et-EE"/>
              </w:rPr>
            </w:pPr>
            <w:r w:rsidRPr="004B20E7">
              <w:rPr>
                <w:rFonts w:ascii="inherit" w:eastAsia="Times New Roman" w:hAnsi="inherit" w:cs="Times New Roman"/>
                <w:color w:val="000000"/>
                <w:lang w:eastAsia="et-EE"/>
              </w:rPr>
              <w:t>Linn/piirkond</w:t>
            </w:r>
          </w:p>
          <w:p w14:paraId="6CB77351" w14:textId="77777777" w:rsidR="00B731C3" w:rsidRPr="004B20E7" w:rsidRDefault="00B731C3" w:rsidP="00A13E67">
            <w:pPr>
              <w:spacing w:after="0" w:line="240" w:lineRule="auto"/>
              <w:rPr>
                <w:rFonts w:ascii="inherit" w:eastAsia="Times New Roman" w:hAnsi="inherit" w:cs="Times New Roman"/>
                <w:color w:val="000000"/>
                <w:lang w:eastAsia="et-EE"/>
              </w:rPr>
            </w:pPr>
            <w:r w:rsidRPr="004B20E7">
              <w:rPr>
                <w:rFonts w:ascii="inherit" w:eastAsia="Times New Roman" w:hAnsi="inherit" w:cs="Times New Roman"/>
                <w:color w:val="000000"/>
                <w:lang w:eastAsia="et-EE"/>
              </w:rPr>
              <w:t>Aadress</w:t>
            </w:r>
          </w:p>
          <w:p w14:paraId="54CFDB44" w14:textId="77777777" w:rsidR="00B731C3" w:rsidRPr="004B20E7" w:rsidRDefault="00B731C3" w:rsidP="00A13E67">
            <w:pPr>
              <w:spacing w:after="0" w:line="240" w:lineRule="auto"/>
              <w:rPr>
                <w:rFonts w:ascii="inherit" w:eastAsia="Times New Roman" w:hAnsi="inherit" w:cs="Times New Roman"/>
                <w:color w:val="000000"/>
                <w:lang w:eastAsia="et-EE"/>
              </w:rPr>
            </w:pPr>
            <w:r w:rsidRPr="004B20E7">
              <w:rPr>
                <w:rFonts w:ascii="inherit" w:eastAsia="Times New Roman" w:hAnsi="inherit" w:cs="Times New Roman"/>
                <w:color w:val="000000"/>
                <w:lang w:eastAsia="et-EE"/>
              </w:rPr>
              <w:t>Kas hoone on avaliku sektori asutuse omanduses või üüritakse seda</w:t>
            </w:r>
          </w:p>
        </w:tc>
        <w:tc>
          <w:tcPr>
            <w:tcW w:w="2957" w:type="pct"/>
            <w:tcBorders>
              <w:top w:val="single" w:sz="6" w:space="0" w:color="000000"/>
              <w:left w:val="single" w:sz="6" w:space="0" w:color="000000"/>
              <w:bottom w:val="single" w:sz="6" w:space="0" w:color="000000"/>
              <w:right w:val="single" w:sz="6" w:space="0" w:color="000000"/>
            </w:tcBorders>
            <w:shd w:val="clear" w:color="auto" w:fill="FFFFFF"/>
            <w:hideMark/>
          </w:tcPr>
          <w:p w14:paraId="451BAED2" w14:textId="77777777" w:rsidR="00B731C3" w:rsidRPr="004B20E7" w:rsidRDefault="00B731C3" w:rsidP="00A13E67">
            <w:pPr>
              <w:spacing w:after="0" w:line="240" w:lineRule="auto"/>
              <w:rPr>
                <w:rFonts w:ascii="inherit" w:eastAsia="Times New Roman" w:hAnsi="inherit" w:cs="Times New Roman"/>
                <w:color w:val="000000"/>
                <w:lang w:eastAsia="et-EE"/>
              </w:rPr>
            </w:pPr>
            <w:r w:rsidRPr="004B20E7">
              <w:rPr>
                <w:rFonts w:ascii="inherit" w:eastAsia="Times New Roman" w:hAnsi="inherit" w:cs="Times New Roman"/>
                <w:color w:val="000000"/>
                <w:lang w:eastAsia="et-EE"/>
              </w:rPr>
              <w:t>Kogumine on tungivalt soovitatav, et hõlbustada inventuuri</w:t>
            </w:r>
            <w:r>
              <w:rPr>
                <w:rFonts w:ascii="inherit" w:eastAsia="Times New Roman" w:hAnsi="inherit" w:cs="Times New Roman"/>
                <w:color w:val="000000"/>
                <w:lang w:eastAsia="et-EE"/>
              </w:rPr>
              <w:t xml:space="preserve"> tulemuste</w:t>
            </w:r>
            <w:r w:rsidRPr="004B20E7">
              <w:rPr>
                <w:rFonts w:ascii="inherit" w:eastAsia="Times New Roman" w:hAnsi="inherit" w:cs="Times New Roman"/>
                <w:color w:val="000000"/>
                <w:lang w:eastAsia="et-EE"/>
              </w:rPr>
              <w:t xml:space="preserve"> kasutamist</w:t>
            </w:r>
          </w:p>
        </w:tc>
      </w:tr>
      <w:tr w:rsidR="00B731C3" w:rsidRPr="004B20E7" w14:paraId="55C593E0" w14:textId="77777777" w:rsidTr="00A13E67">
        <w:tc>
          <w:tcPr>
            <w:tcW w:w="2043" w:type="pct"/>
            <w:tcBorders>
              <w:top w:val="single" w:sz="6" w:space="0" w:color="000000"/>
              <w:left w:val="single" w:sz="6" w:space="0" w:color="000000"/>
              <w:bottom w:val="single" w:sz="6" w:space="0" w:color="000000"/>
              <w:right w:val="single" w:sz="6" w:space="0" w:color="000000"/>
            </w:tcBorders>
            <w:shd w:val="clear" w:color="auto" w:fill="FFFFFF"/>
          </w:tcPr>
          <w:p w14:paraId="14AE32F6" w14:textId="77777777" w:rsidR="00B731C3" w:rsidRPr="004B20E7" w:rsidRDefault="00B731C3" w:rsidP="00A13E67">
            <w:pPr>
              <w:spacing w:after="0" w:line="240" w:lineRule="auto"/>
              <w:rPr>
                <w:rFonts w:ascii="inherit" w:eastAsia="Times New Roman" w:hAnsi="inherit" w:cs="Times New Roman"/>
                <w:color w:val="000000"/>
                <w:lang w:eastAsia="et-EE"/>
              </w:rPr>
            </w:pPr>
            <w:r w:rsidRPr="004B20E7">
              <w:rPr>
                <w:rFonts w:ascii="inherit" w:eastAsia="Times New Roman" w:hAnsi="inherit" w:cs="Times New Roman"/>
                <w:color w:val="000000"/>
                <w:lang w:eastAsia="et-EE"/>
              </w:rPr>
              <w:t>Kas hoone on renoveerimise võrdlusaluse</w:t>
            </w:r>
            <w:r>
              <w:rPr>
                <w:rFonts w:ascii="inherit" w:eastAsia="Times New Roman" w:hAnsi="inherit" w:cs="Times New Roman"/>
                <w:color w:val="000000"/>
                <w:lang w:eastAsia="et-EE"/>
              </w:rPr>
              <w:t>s</w:t>
            </w:r>
            <w:r w:rsidRPr="004B20E7">
              <w:rPr>
                <w:rFonts w:ascii="inherit" w:eastAsia="Times New Roman" w:hAnsi="inherit" w:cs="Times New Roman"/>
                <w:color w:val="000000"/>
                <w:lang w:eastAsia="et-EE"/>
              </w:rPr>
              <w:t xml:space="preserve"> või on sellest välja jäetud</w:t>
            </w:r>
          </w:p>
          <w:p w14:paraId="79E5CCE6" w14:textId="77777777" w:rsidR="00B731C3" w:rsidRPr="004B20E7" w:rsidRDefault="00B731C3" w:rsidP="00A13E67">
            <w:pPr>
              <w:spacing w:after="0" w:line="240" w:lineRule="auto"/>
              <w:rPr>
                <w:rFonts w:ascii="inherit" w:eastAsia="Times New Roman" w:hAnsi="inherit" w:cs="Times New Roman"/>
                <w:color w:val="000000"/>
                <w:lang w:eastAsia="et-EE"/>
              </w:rPr>
            </w:pPr>
            <w:r w:rsidRPr="004B20E7">
              <w:rPr>
                <w:rFonts w:ascii="inherit" w:eastAsia="Times New Roman" w:hAnsi="inherit" w:cs="Times New Roman"/>
                <w:color w:val="000000"/>
                <w:lang w:eastAsia="et-EE"/>
              </w:rPr>
              <w:t>Renoveerimise seis</w:t>
            </w:r>
          </w:p>
          <w:p w14:paraId="7FF282F8" w14:textId="77777777" w:rsidR="00B731C3" w:rsidRPr="004B20E7" w:rsidRDefault="00B731C3" w:rsidP="00A13E67">
            <w:pPr>
              <w:spacing w:after="0" w:line="240" w:lineRule="auto"/>
              <w:rPr>
                <w:rFonts w:ascii="inherit" w:eastAsia="Times New Roman" w:hAnsi="inherit" w:cs="Times New Roman"/>
                <w:color w:val="000000"/>
                <w:lang w:eastAsia="et-EE"/>
              </w:rPr>
            </w:pPr>
            <w:r w:rsidRPr="004B20E7">
              <w:rPr>
                <w:rFonts w:ascii="inherit" w:eastAsia="Times New Roman" w:hAnsi="inherit" w:cs="Times New Roman"/>
                <w:color w:val="000000"/>
                <w:lang w:eastAsia="et-EE"/>
              </w:rPr>
              <w:t>Renoveerimise kuupäev</w:t>
            </w:r>
          </w:p>
          <w:p w14:paraId="15976832" w14:textId="77777777" w:rsidR="00B731C3" w:rsidRPr="004B20E7" w:rsidRDefault="00B731C3" w:rsidP="00A13E67">
            <w:pPr>
              <w:spacing w:after="0" w:line="240" w:lineRule="auto"/>
              <w:rPr>
                <w:rFonts w:ascii="inherit" w:eastAsia="Times New Roman" w:hAnsi="inherit" w:cs="Times New Roman"/>
                <w:color w:val="000000"/>
                <w:lang w:eastAsia="et-EE"/>
              </w:rPr>
            </w:pPr>
            <w:r w:rsidRPr="004B20E7">
              <w:rPr>
                <w:rFonts w:ascii="inherit" w:eastAsia="Times New Roman" w:hAnsi="inherit" w:cs="Times New Roman"/>
                <w:color w:val="000000"/>
                <w:lang w:eastAsia="et-EE"/>
              </w:rPr>
              <w:t>Lammutamise kuupäev</w:t>
            </w:r>
          </w:p>
          <w:p w14:paraId="6C8502A1" w14:textId="77777777" w:rsidR="00B731C3" w:rsidRPr="004B20E7" w:rsidRDefault="00B731C3" w:rsidP="00A13E67">
            <w:pPr>
              <w:spacing w:after="0" w:line="240" w:lineRule="auto"/>
              <w:rPr>
                <w:rFonts w:ascii="inherit" w:eastAsia="Times New Roman" w:hAnsi="inherit" w:cs="Times New Roman"/>
                <w:color w:val="000000"/>
                <w:lang w:eastAsia="et-EE"/>
              </w:rPr>
            </w:pPr>
            <w:r w:rsidRPr="004B20E7">
              <w:rPr>
                <w:rFonts w:ascii="inherit" w:eastAsia="Times New Roman" w:hAnsi="inherit" w:cs="Times New Roman"/>
                <w:color w:val="000000"/>
                <w:lang w:eastAsia="et-EE"/>
              </w:rPr>
              <w:t>Hoone ehitamise kuupäev</w:t>
            </w:r>
          </w:p>
          <w:p w14:paraId="45C2CABB" w14:textId="77777777" w:rsidR="00B731C3" w:rsidRPr="004B20E7" w:rsidRDefault="00B731C3" w:rsidP="00A13E67">
            <w:pPr>
              <w:spacing w:after="0" w:line="240" w:lineRule="auto"/>
              <w:rPr>
                <w:rFonts w:ascii="inherit" w:eastAsia="Times New Roman" w:hAnsi="inherit" w:cs="Times New Roman"/>
                <w:color w:val="000000"/>
                <w:lang w:eastAsia="et-EE"/>
              </w:rPr>
            </w:pPr>
            <w:r w:rsidRPr="004B20E7">
              <w:rPr>
                <w:rFonts w:ascii="inherit" w:eastAsia="Times New Roman" w:hAnsi="inherit" w:cs="Times New Roman"/>
                <w:color w:val="000000"/>
                <w:lang w:eastAsia="et-EE"/>
              </w:rPr>
              <w:t>Kas hoone asendab lammutatud hoonet</w:t>
            </w:r>
          </w:p>
        </w:tc>
        <w:tc>
          <w:tcPr>
            <w:tcW w:w="2957" w:type="pct"/>
            <w:tcBorders>
              <w:top w:val="single" w:sz="6" w:space="0" w:color="000000"/>
              <w:left w:val="single" w:sz="6" w:space="0" w:color="000000"/>
              <w:bottom w:val="single" w:sz="6" w:space="0" w:color="000000"/>
              <w:right w:val="single" w:sz="6" w:space="0" w:color="000000"/>
            </w:tcBorders>
            <w:shd w:val="clear" w:color="auto" w:fill="FFFFFF"/>
            <w:hideMark/>
          </w:tcPr>
          <w:p w14:paraId="5CE845AB" w14:textId="77777777" w:rsidR="00B731C3" w:rsidRPr="004B20E7" w:rsidRDefault="00B731C3" w:rsidP="00A13E67">
            <w:pPr>
              <w:spacing w:after="0" w:line="240" w:lineRule="auto"/>
              <w:rPr>
                <w:rFonts w:ascii="inherit" w:eastAsia="Times New Roman" w:hAnsi="inherit" w:cs="Times New Roman"/>
                <w:color w:val="000000"/>
                <w:lang w:eastAsia="et-EE"/>
              </w:rPr>
            </w:pPr>
            <w:r>
              <w:rPr>
                <w:rFonts w:ascii="inherit" w:eastAsia="Times New Roman" w:hAnsi="inherit" w:cs="Times New Roman"/>
                <w:color w:val="000000"/>
                <w:lang w:eastAsia="et-EE"/>
              </w:rPr>
              <w:t xml:space="preserve">Soovituslik. </w:t>
            </w:r>
            <w:r w:rsidRPr="004B20E7">
              <w:rPr>
                <w:rFonts w:ascii="inherit" w:eastAsia="Times New Roman" w:hAnsi="inherit" w:cs="Times New Roman"/>
                <w:color w:val="000000"/>
                <w:lang w:eastAsia="et-EE"/>
              </w:rPr>
              <w:t>Andmed, mis võimaldavad liikmesriikidel arvutada võrdlusaluse ja iga-aastase eesmärgi</w:t>
            </w:r>
          </w:p>
        </w:tc>
      </w:tr>
      <w:tr w:rsidR="00B731C3" w:rsidRPr="004B20E7" w14:paraId="0997DA0E" w14:textId="77777777" w:rsidTr="00A13E67">
        <w:tc>
          <w:tcPr>
            <w:tcW w:w="2043" w:type="pct"/>
            <w:tcBorders>
              <w:top w:val="single" w:sz="6" w:space="0" w:color="000000"/>
              <w:left w:val="single" w:sz="6" w:space="0" w:color="000000"/>
              <w:bottom w:val="single" w:sz="6" w:space="0" w:color="000000"/>
              <w:right w:val="single" w:sz="6" w:space="0" w:color="000000"/>
            </w:tcBorders>
            <w:shd w:val="clear" w:color="auto" w:fill="FFFFFF"/>
          </w:tcPr>
          <w:p w14:paraId="17C6E1A7" w14:textId="77777777" w:rsidR="00B731C3" w:rsidRPr="004B20E7" w:rsidRDefault="00B731C3" w:rsidP="00A13E67">
            <w:pPr>
              <w:spacing w:after="0" w:line="240" w:lineRule="auto"/>
              <w:rPr>
                <w:rFonts w:ascii="inherit" w:eastAsia="Times New Roman" w:hAnsi="inherit" w:cs="Times New Roman"/>
                <w:color w:val="000000"/>
                <w:lang w:eastAsia="et-EE"/>
              </w:rPr>
            </w:pPr>
            <w:r w:rsidRPr="004B20E7">
              <w:rPr>
                <w:rFonts w:ascii="inherit" w:eastAsia="Times New Roman" w:hAnsi="inherit" w:cs="Times New Roman"/>
                <w:color w:val="000000"/>
                <w:lang w:eastAsia="et-EE"/>
              </w:rPr>
              <w:t>Omanik</w:t>
            </w:r>
          </w:p>
          <w:p w14:paraId="43CB7F03" w14:textId="77777777" w:rsidR="00B731C3" w:rsidRPr="004B20E7" w:rsidRDefault="00B731C3" w:rsidP="00A13E67">
            <w:pPr>
              <w:spacing w:after="0" w:line="240" w:lineRule="auto"/>
              <w:rPr>
                <w:rFonts w:ascii="inherit" w:eastAsia="Times New Roman" w:hAnsi="inherit" w:cs="Times New Roman"/>
                <w:color w:val="000000"/>
                <w:lang w:eastAsia="et-EE"/>
              </w:rPr>
            </w:pPr>
            <w:r w:rsidRPr="004B20E7">
              <w:rPr>
                <w:rFonts w:ascii="inherit" w:eastAsia="Times New Roman" w:hAnsi="inherit" w:cs="Times New Roman"/>
                <w:color w:val="000000"/>
                <w:lang w:eastAsia="et-EE"/>
              </w:rPr>
              <w:t>Valduslik olukord</w:t>
            </w:r>
          </w:p>
          <w:p w14:paraId="70D46A88" w14:textId="77777777" w:rsidR="00B731C3" w:rsidRPr="004B20E7" w:rsidRDefault="00B731C3" w:rsidP="00A13E67">
            <w:pPr>
              <w:spacing w:after="0" w:line="240" w:lineRule="auto"/>
              <w:rPr>
                <w:rFonts w:ascii="inherit" w:eastAsia="Times New Roman" w:hAnsi="inherit" w:cs="Times New Roman"/>
                <w:color w:val="000000"/>
                <w:lang w:eastAsia="et-EE"/>
              </w:rPr>
            </w:pPr>
            <w:r w:rsidRPr="004B20E7">
              <w:rPr>
                <w:rFonts w:ascii="inherit" w:eastAsia="Times New Roman" w:hAnsi="inherit" w:cs="Times New Roman"/>
                <w:color w:val="000000"/>
                <w:lang w:eastAsia="et-EE"/>
              </w:rPr>
              <w:t>Hoones asuv asutus</w:t>
            </w:r>
          </w:p>
          <w:p w14:paraId="2007D872" w14:textId="77777777" w:rsidR="00B731C3" w:rsidRPr="004B20E7" w:rsidRDefault="00B731C3" w:rsidP="00A13E67">
            <w:pPr>
              <w:spacing w:after="0" w:line="240" w:lineRule="auto"/>
              <w:rPr>
                <w:rFonts w:ascii="inherit" w:eastAsia="Times New Roman" w:hAnsi="inherit" w:cs="Times New Roman"/>
                <w:color w:val="000000"/>
                <w:lang w:eastAsia="et-EE"/>
              </w:rPr>
            </w:pPr>
            <w:r w:rsidRPr="004B20E7">
              <w:rPr>
                <w:rFonts w:ascii="inherit" w:eastAsia="Times New Roman" w:hAnsi="inherit" w:cs="Times New Roman"/>
                <w:color w:val="000000"/>
                <w:lang w:eastAsia="et-EE"/>
              </w:rPr>
              <w:t>hoone omadused</w:t>
            </w:r>
          </w:p>
          <w:p w14:paraId="68075CC3" w14:textId="77777777" w:rsidR="00B731C3" w:rsidRPr="004B20E7" w:rsidRDefault="00B731C3" w:rsidP="00A13E67">
            <w:pPr>
              <w:spacing w:after="0" w:line="240" w:lineRule="auto"/>
              <w:rPr>
                <w:rFonts w:ascii="inherit" w:eastAsia="Times New Roman" w:hAnsi="inherit" w:cs="Times New Roman"/>
                <w:color w:val="000000"/>
                <w:lang w:eastAsia="et-EE"/>
              </w:rPr>
            </w:pPr>
            <w:r w:rsidRPr="004B20E7">
              <w:rPr>
                <w:rFonts w:ascii="inherit" w:eastAsia="Times New Roman" w:hAnsi="inherit" w:cs="Times New Roman"/>
                <w:color w:val="000000"/>
                <w:lang w:eastAsia="et-EE"/>
              </w:rPr>
              <w:t>hoone liik</w:t>
            </w:r>
          </w:p>
          <w:p w14:paraId="7D7E8C63" w14:textId="77777777" w:rsidR="00B731C3" w:rsidRPr="004B20E7" w:rsidRDefault="00B731C3" w:rsidP="00A13E67">
            <w:pPr>
              <w:spacing w:after="0" w:line="240" w:lineRule="auto"/>
              <w:rPr>
                <w:rFonts w:ascii="inherit" w:eastAsia="Times New Roman" w:hAnsi="inherit" w:cs="Times New Roman"/>
                <w:color w:val="000000"/>
                <w:lang w:eastAsia="et-EE"/>
              </w:rPr>
            </w:pPr>
            <w:r w:rsidRPr="004B20E7">
              <w:rPr>
                <w:rFonts w:ascii="inherit" w:eastAsia="Times New Roman" w:hAnsi="inherit" w:cs="Times New Roman"/>
                <w:color w:val="000000"/>
                <w:lang w:eastAsia="et-EE"/>
              </w:rPr>
              <w:t>praegune energiatõhususe tase</w:t>
            </w:r>
          </w:p>
          <w:p w14:paraId="7ADCB336" w14:textId="77777777" w:rsidR="00B731C3" w:rsidRPr="004B20E7" w:rsidRDefault="00B731C3" w:rsidP="00A13E67">
            <w:pPr>
              <w:spacing w:after="0" w:line="240" w:lineRule="auto"/>
              <w:rPr>
                <w:rFonts w:ascii="inherit" w:eastAsia="Times New Roman" w:hAnsi="inherit" w:cs="Times New Roman"/>
                <w:color w:val="000000"/>
                <w:lang w:eastAsia="et-EE"/>
              </w:rPr>
            </w:pPr>
            <w:r w:rsidRPr="004B20E7">
              <w:rPr>
                <w:rFonts w:ascii="inherit" w:eastAsia="Times New Roman" w:hAnsi="inherit" w:cs="Times New Roman"/>
                <w:color w:val="000000"/>
                <w:lang w:eastAsia="et-EE"/>
              </w:rPr>
              <w:t>…</w:t>
            </w:r>
          </w:p>
        </w:tc>
        <w:tc>
          <w:tcPr>
            <w:tcW w:w="2957" w:type="pct"/>
            <w:tcBorders>
              <w:top w:val="single" w:sz="6" w:space="0" w:color="000000"/>
              <w:left w:val="single" w:sz="6" w:space="0" w:color="000000"/>
              <w:bottom w:val="single" w:sz="6" w:space="0" w:color="000000"/>
              <w:right w:val="single" w:sz="6" w:space="0" w:color="000000"/>
            </w:tcBorders>
            <w:shd w:val="clear" w:color="auto" w:fill="FFFFFF"/>
            <w:hideMark/>
          </w:tcPr>
          <w:p w14:paraId="7FD42B8E" w14:textId="77777777" w:rsidR="00B731C3" w:rsidRPr="004B20E7" w:rsidRDefault="00B731C3" w:rsidP="00A13E67">
            <w:pPr>
              <w:spacing w:after="0" w:line="240" w:lineRule="auto"/>
              <w:rPr>
                <w:rFonts w:ascii="inherit" w:eastAsia="Times New Roman" w:hAnsi="inherit" w:cs="Times New Roman"/>
                <w:color w:val="000000"/>
                <w:lang w:eastAsia="et-EE"/>
              </w:rPr>
            </w:pPr>
            <w:r>
              <w:rPr>
                <w:rFonts w:ascii="inherit" w:eastAsia="Times New Roman" w:hAnsi="inherit" w:cs="Times New Roman"/>
                <w:color w:val="000000"/>
                <w:lang w:eastAsia="et-EE"/>
              </w:rPr>
              <w:t xml:space="preserve">Soovituslik. </w:t>
            </w:r>
            <w:r w:rsidRPr="004B20E7">
              <w:rPr>
                <w:rFonts w:ascii="inherit" w:eastAsia="Times New Roman" w:hAnsi="inherit" w:cs="Times New Roman"/>
                <w:color w:val="000000"/>
                <w:lang w:eastAsia="et-EE"/>
              </w:rPr>
              <w:t xml:space="preserve">Muud andmed, mis on kasulikud selleks, et kasutada inventuuri </w:t>
            </w:r>
            <w:r>
              <w:rPr>
                <w:rFonts w:ascii="inherit" w:eastAsia="Times New Roman" w:hAnsi="inherit" w:cs="Times New Roman"/>
                <w:color w:val="000000"/>
                <w:lang w:eastAsia="et-EE"/>
              </w:rPr>
              <w:t xml:space="preserve">tulemusi </w:t>
            </w:r>
            <w:r w:rsidRPr="004B20E7">
              <w:rPr>
                <w:rFonts w:ascii="inherit" w:eastAsia="Times New Roman" w:hAnsi="inherit" w:cs="Times New Roman"/>
                <w:color w:val="000000"/>
                <w:lang w:eastAsia="et-EE"/>
              </w:rPr>
              <w:t>avaliku sektori asutuste hoonete renoveerimise kavandamisel</w:t>
            </w:r>
          </w:p>
        </w:tc>
      </w:tr>
    </w:tbl>
    <w:p w14:paraId="2194FB1E" w14:textId="77777777" w:rsidR="00B731C3" w:rsidRDefault="00B731C3" w:rsidP="00B731C3">
      <w:pPr>
        <w:pStyle w:val="muudetavtekst"/>
        <w:rPr>
          <w:rFonts w:asciiTheme="minorHAnsi" w:hAnsiTheme="minorHAnsi" w:cstheme="minorHAnsi"/>
          <w:b/>
          <w:bCs/>
        </w:rPr>
      </w:pPr>
    </w:p>
    <w:p w14:paraId="6B7271EE" w14:textId="77777777" w:rsidR="00B731C3" w:rsidRDefault="00B731C3" w:rsidP="00B731C3">
      <w:pPr>
        <w:pStyle w:val="muudetavtekst"/>
        <w:rPr>
          <w:rFonts w:asciiTheme="minorHAnsi" w:hAnsiTheme="minorHAnsi" w:cstheme="minorBidi"/>
        </w:rPr>
      </w:pPr>
      <w:r w:rsidRPr="490A73E8">
        <w:rPr>
          <w:rFonts w:asciiTheme="minorHAnsi" w:hAnsiTheme="minorHAnsi" w:cstheme="minorBidi"/>
          <w:b/>
          <w:bCs/>
        </w:rPr>
        <w:t xml:space="preserve">Punktiga </w:t>
      </w:r>
      <w:r>
        <w:rPr>
          <w:rFonts w:asciiTheme="minorHAnsi" w:hAnsiTheme="minorHAnsi" w:cstheme="minorBidi"/>
          <w:b/>
          <w:bCs/>
        </w:rPr>
        <w:t>26</w:t>
      </w:r>
      <w:r w:rsidRPr="490A73E8">
        <w:rPr>
          <w:rFonts w:asciiTheme="minorHAnsi" w:hAnsiTheme="minorHAnsi" w:cstheme="minorBidi"/>
        </w:rPr>
        <w:t xml:space="preserve"> muudetakse EnKS</w:t>
      </w:r>
      <w:r>
        <w:rPr>
          <w:rFonts w:asciiTheme="minorHAnsi" w:hAnsiTheme="minorHAnsi" w:cstheme="minorBidi"/>
        </w:rPr>
        <w:t>i</w:t>
      </w:r>
      <w:r w:rsidRPr="490A73E8">
        <w:rPr>
          <w:rFonts w:asciiTheme="minorHAnsi" w:hAnsiTheme="minorHAnsi" w:cstheme="minorBidi"/>
        </w:rPr>
        <w:t xml:space="preserve"> </w:t>
      </w:r>
      <w:r w:rsidRPr="005106DA">
        <w:rPr>
          <w:rFonts w:asciiTheme="minorHAnsi" w:hAnsiTheme="minorHAnsi" w:cstheme="minorBidi"/>
        </w:rPr>
        <w:t>§</w:t>
      </w:r>
      <w:r w:rsidRPr="490A73E8">
        <w:rPr>
          <w:rFonts w:asciiTheme="minorHAnsi" w:hAnsiTheme="minorHAnsi" w:cstheme="minorBidi"/>
        </w:rPr>
        <w:t xml:space="preserve"> 5 lõiget 9, mis sätestab nõuded avaliku sektori asutuste inventuuri </w:t>
      </w:r>
      <w:r>
        <w:rPr>
          <w:rFonts w:asciiTheme="minorHAnsi" w:hAnsiTheme="minorHAnsi" w:cstheme="minorBidi"/>
        </w:rPr>
        <w:t xml:space="preserve">andmete üldsusele </w:t>
      </w:r>
      <w:r w:rsidRPr="490A73E8">
        <w:rPr>
          <w:rFonts w:asciiTheme="minorHAnsi" w:hAnsiTheme="minorHAnsi" w:cstheme="minorBidi"/>
        </w:rPr>
        <w:t>kättesaadavus</w:t>
      </w:r>
      <w:r>
        <w:rPr>
          <w:rFonts w:asciiTheme="minorHAnsi" w:hAnsiTheme="minorHAnsi" w:cstheme="minorBidi"/>
        </w:rPr>
        <w:t>ele</w:t>
      </w:r>
      <w:r w:rsidRPr="490A73E8">
        <w:rPr>
          <w:rFonts w:asciiTheme="minorHAnsi" w:hAnsiTheme="minorHAnsi" w:cstheme="minorBidi"/>
        </w:rPr>
        <w:t xml:space="preserve"> ning </w:t>
      </w:r>
      <w:r w:rsidRPr="00BF4C02">
        <w:rPr>
          <w:rFonts w:asciiTheme="minorHAnsi" w:hAnsiTheme="minorHAnsi" w:cstheme="minorBidi"/>
        </w:rPr>
        <w:t xml:space="preserve">inventuuri </w:t>
      </w:r>
      <w:r>
        <w:rPr>
          <w:rFonts w:asciiTheme="minorHAnsi" w:hAnsiTheme="minorHAnsi" w:cstheme="minorBidi"/>
        </w:rPr>
        <w:t xml:space="preserve">andmete esitamine </w:t>
      </w:r>
      <w:r w:rsidRPr="00BF4C02">
        <w:rPr>
          <w:rFonts w:asciiTheme="minorHAnsi" w:hAnsiTheme="minorHAnsi" w:cstheme="minorBidi"/>
        </w:rPr>
        <w:t>Euroopa</w:t>
      </w:r>
      <w:r w:rsidRPr="490A73E8">
        <w:rPr>
          <w:rFonts w:asciiTheme="minorHAnsi" w:hAnsiTheme="minorHAnsi" w:cstheme="minorBidi"/>
        </w:rPr>
        <w:t xml:space="preserve"> hoonefondi vaatluskeskusele</w:t>
      </w:r>
      <w:r>
        <w:rPr>
          <w:rFonts w:asciiTheme="minorHAnsi" w:hAnsiTheme="minorHAnsi" w:cstheme="minorBidi"/>
        </w:rPr>
        <w:t xml:space="preserve"> hoonete energiatõhususe direktiivi (</w:t>
      </w:r>
      <w:r w:rsidRPr="00865142">
        <w:rPr>
          <w:rFonts w:asciiTheme="minorHAnsi" w:hAnsiTheme="minorHAnsi" w:cstheme="minorBidi"/>
        </w:rPr>
        <w:t>(EL) 2024/1275</w:t>
      </w:r>
      <w:r>
        <w:rPr>
          <w:rFonts w:asciiTheme="minorHAnsi" w:hAnsiTheme="minorHAnsi" w:cstheme="minorBidi"/>
        </w:rPr>
        <w:t>)</w:t>
      </w:r>
      <w:r>
        <w:rPr>
          <w:rStyle w:val="Allmrkuseviide"/>
          <w:rFonts w:asciiTheme="minorHAnsi" w:hAnsiTheme="minorHAnsi" w:cstheme="minorBidi"/>
        </w:rPr>
        <w:footnoteReference w:id="47"/>
      </w:r>
      <w:r>
        <w:rPr>
          <w:rFonts w:asciiTheme="minorHAnsi" w:hAnsiTheme="minorHAnsi" w:cstheme="minorBidi"/>
        </w:rPr>
        <w:t xml:space="preserve"> artikli 22 punkti 5 järgi.</w:t>
      </w:r>
    </w:p>
    <w:p w14:paraId="2089B4F8" w14:textId="77777777" w:rsidR="00B731C3" w:rsidRDefault="00B731C3" w:rsidP="00B731C3">
      <w:pPr>
        <w:pStyle w:val="muudetavtekst"/>
        <w:rPr>
          <w:rFonts w:asciiTheme="minorHAnsi" w:hAnsiTheme="minorHAnsi" w:cstheme="minorHAnsi"/>
        </w:rPr>
      </w:pPr>
    </w:p>
    <w:p w14:paraId="5DF04B29" w14:textId="77777777" w:rsidR="00B731C3" w:rsidRDefault="00B731C3" w:rsidP="00B731C3">
      <w:pPr>
        <w:pStyle w:val="muudetavtekst"/>
        <w:rPr>
          <w:rFonts w:asciiTheme="minorHAnsi" w:hAnsiTheme="minorHAnsi" w:cstheme="minorBidi"/>
        </w:rPr>
      </w:pPr>
      <w:r w:rsidRPr="490A73E8">
        <w:rPr>
          <w:rFonts w:asciiTheme="minorHAnsi" w:hAnsiTheme="minorHAnsi" w:cstheme="minorBidi"/>
          <w:b/>
          <w:bCs/>
        </w:rPr>
        <w:t xml:space="preserve">Punktiga </w:t>
      </w:r>
      <w:r>
        <w:rPr>
          <w:rFonts w:asciiTheme="minorHAnsi" w:hAnsiTheme="minorHAnsi" w:cstheme="minorBidi"/>
          <w:b/>
          <w:bCs/>
        </w:rPr>
        <w:t>27</w:t>
      </w:r>
      <w:r w:rsidRPr="490A73E8">
        <w:rPr>
          <w:rFonts w:asciiTheme="minorHAnsi" w:hAnsiTheme="minorHAnsi" w:cstheme="minorBidi"/>
        </w:rPr>
        <w:t xml:space="preserve"> muudetakse EnKS</w:t>
      </w:r>
      <w:r>
        <w:rPr>
          <w:rFonts w:asciiTheme="minorHAnsi" w:hAnsiTheme="minorHAnsi" w:cstheme="minorBidi"/>
        </w:rPr>
        <w:t>i</w:t>
      </w:r>
      <w:r w:rsidRPr="490A73E8">
        <w:rPr>
          <w:rFonts w:asciiTheme="minorHAnsi" w:hAnsiTheme="minorHAnsi" w:cstheme="minorBidi"/>
        </w:rPr>
        <w:t xml:space="preserve"> </w:t>
      </w:r>
      <w:r w:rsidRPr="005106DA">
        <w:rPr>
          <w:rFonts w:asciiTheme="minorHAnsi" w:hAnsiTheme="minorHAnsi" w:cstheme="minorBidi"/>
        </w:rPr>
        <w:t>§</w:t>
      </w:r>
      <w:r w:rsidRPr="490A73E8">
        <w:rPr>
          <w:rFonts w:asciiTheme="minorHAnsi" w:hAnsiTheme="minorHAnsi" w:cstheme="minorBidi"/>
        </w:rPr>
        <w:t xml:space="preserve"> 5 lõiget 11, sätesta</w:t>
      </w:r>
      <w:r>
        <w:rPr>
          <w:rFonts w:asciiTheme="minorHAnsi" w:hAnsiTheme="minorHAnsi" w:cstheme="minorBidi"/>
        </w:rPr>
        <w:t>des</w:t>
      </w:r>
      <w:r w:rsidRPr="490A73E8">
        <w:rPr>
          <w:rFonts w:asciiTheme="minorHAnsi" w:hAnsiTheme="minorHAnsi" w:cstheme="minorBidi"/>
        </w:rPr>
        <w:t xml:space="preserve"> nõuded avaliku sektori asutus</w:t>
      </w:r>
      <w:r>
        <w:rPr>
          <w:rFonts w:asciiTheme="minorHAnsi" w:hAnsiTheme="minorHAnsi" w:cstheme="minorBidi"/>
        </w:rPr>
        <w:t>t</w:t>
      </w:r>
      <w:r w:rsidRPr="490A73E8">
        <w:rPr>
          <w:rFonts w:asciiTheme="minorHAnsi" w:hAnsiTheme="minorHAnsi" w:cstheme="minorBidi"/>
        </w:rPr>
        <w:t>ele</w:t>
      </w:r>
      <w:r>
        <w:rPr>
          <w:rFonts w:asciiTheme="minorHAnsi" w:hAnsiTheme="minorHAnsi" w:cstheme="minorBidi"/>
        </w:rPr>
        <w:t>,</w:t>
      </w:r>
      <w:r w:rsidRPr="490A73E8">
        <w:rPr>
          <w:rFonts w:asciiTheme="minorHAnsi" w:hAnsiTheme="minorHAnsi" w:cstheme="minorBidi"/>
        </w:rPr>
        <w:t xml:space="preserve"> kui sõlmi</w:t>
      </w:r>
      <w:r>
        <w:rPr>
          <w:rFonts w:asciiTheme="minorHAnsi" w:hAnsiTheme="minorHAnsi" w:cstheme="minorBidi"/>
        </w:rPr>
        <w:t>takse</w:t>
      </w:r>
      <w:r w:rsidRPr="490A73E8">
        <w:rPr>
          <w:rFonts w:asciiTheme="minorHAnsi" w:hAnsiTheme="minorHAnsi" w:cstheme="minorBidi"/>
        </w:rPr>
        <w:t xml:space="preserve"> või uuenda</w:t>
      </w:r>
      <w:r>
        <w:rPr>
          <w:rFonts w:asciiTheme="minorHAnsi" w:hAnsiTheme="minorHAnsi" w:cstheme="minorBidi"/>
        </w:rPr>
        <w:t>takse</w:t>
      </w:r>
      <w:r w:rsidRPr="490A73E8">
        <w:rPr>
          <w:rFonts w:asciiTheme="minorHAnsi" w:hAnsiTheme="minorHAnsi" w:cstheme="minorBidi"/>
        </w:rPr>
        <w:t xml:space="preserve"> üürilepinguid hoonetes, mis ei ole veel heitevabad</w:t>
      </w:r>
      <w:r>
        <w:rPr>
          <w:rFonts w:asciiTheme="minorHAnsi" w:hAnsiTheme="minorHAnsi" w:cstheme="minorBidi"/>
        </w:rPr>
        <w:t xml:space="preserve">. Lõikega </w:t>
      </w:r>
      <w:r>
        <w:rPr>
          <w:rFonts w:asciiTheme="minorHAnsi" w:hAnsiTheme="minorHAnsi" w:cstheme="minorBidi"/>
        </w:rPr>
        <w:lastRenderedPageBreak/>
        <w:t>võetakse üle direktiivi artikkel 6 lõige 1(4). Üürilepinguis tuleb ka märkida,</w:t>
      </w:r>
      <w:r w:rsidRPr="490A73E8">
        <w:rPr>
          <w:rFonts w:asciiTheme="minorHAnsi" w:hAnsiTheme="minorHAnsi" w:cstheme="minorBidi"/>
        </w:rPr>
        <w:t xml:space="preserve"> millal jõutakse heitevaba eesmärgini.</w:t>
      </w:r>
    </w:p>
    <w:p w14:paraId="66803F28" w14:textId="77777777" w:rsidR="00B731C3" w:rsidRDefault="00B731C3" w:rsidP="00B731C3">
      <w:pPr>
        <w:pStyle w:val="muudetavtekst"/>
        <w:rPr>
          <w:rFonts w:asciiTheme="minorHAnsi" w:hAnsiTheme="minorHAnsi" w:cstheme="minorBidi"/>
        </w:rPr>
      </w:pPr>
      <w:r w:rsidRPr="490A73E8">
        <w:rPr>
          <w:rFonts w:asciiTheme="minorHAnsi" w:hAnsiTheme="minorHAnsi" w:cstheme="minorBidi"/>
        </w:rPr>
        <w:t>Heitevaba hoone mõiste ei ole Eesti õigusruumis kasutusel, kuid selle mõiste sätestab hoonete energiatõhus</w:t>
      </w:r>
      <w:r>
        <w:rPr>
          <w:rFonts w:asciiTheme="minorHAnsi" w:hAnsiTheme="minorHAnsi" w:cstheme="minorBidi"/>
        </w:rPr>
        <w:t>u</w:t>
      </w:r>
      <w:r w:rsidRPr="490A73E8">
        <w:rPr>
          <w:rFonts w:asciiTheme="minorHAnsi" w:hAnsiTheme="minorHAnsi" w:cstheme="minorBidi"/>
        </w:rPr>
        <w:t>se direktiiv</w:t>
      </w:r>
      <w:r>
        <w:rPr>
          <w:rFonts w:asciiTheme="minorHAnsi" w:hAnsiTheme="minorHAnsi" w:cstheme="minorBidi"/>
        </w:rPr>
        <w:t xml:space="preserve"> (EL) 2024/1275</w:t>
      </w:r>
      <w:r w:rsidRPr="490A73E8">
        <w:rPr>
          <w:rFonts w:asciiTheme="minorHAnsi" w:hAnsiTheme="minorHAnsi" w:cstheme="minorBidi"/>
        </w:rPr>
        <w:t xml:space="preserve">, mis on samuti ülevõtmisel. Direktiiv sätestab, et heitevaba hoone on väga suure energiatõhususega hoone, mis ei vaja üldse energiat või vajab </w:t>
      </w:r>
      <w:r>
        <w:rPr>
          <w:rFonts w:asciiTheme="minorHAnsi" w:hAnsiTheme="minorHAnsi" w:cstheme="minorBidi"/>
        </w:rPr>
        <w:t xml:space="preserve">seda </w:t>
      </w:r>
      <w:r w:rsidRPr="490A73E8">
        <w:rPr>
          <w:rFonts w:asciiTheme="minorHAnsi" w:hAnsiTheme="minorHAnsi" w:cstheme="minorBidi"/>
        </w:rPr>
        <w:t>väga vä</w:t>
      </w:r>
      <w:r>
        <w:rPr>
          <w:rFonts w:asciiTheme="minorHAnsi" w:hAnsiTheme="minorHAnsi" w:cstheme="minorBidi"/>
        </w:rPr>
        <w:t>he,</w:t>
      </w:r>
      <w:r w:rsidRPr="490A73E8">
        <w:rPr>
          <w:rFonts w:asciiTheme="minorHAnsi" w:hAnsiTheme="minorHAnsi" w:cstheme="minorBidi"/>
        </w:rPr>
        <w:t xml:space="preserve"> ei tekita kohapeal fossiilkütustest CO</w:t>
      </w:r>
      <w:r w:rsidRPr="00BF4C02">
        <w:rPr>
          <w:rFonts w:asciiTheme="minorHAnsi" w:hAnsiTheme="minorHAnsi" w:cstheme="minorBidi"/>
          <w:vertAlign w:val="subscript"/>
        </w:rPr>
        <w:t>2</w:t>
      </w:r>
      <w:r w:rsidRPr="490A73E8">
        <w:rPr>
          <w:rFonts w:asciiTheme="minorHAnsi" w:hAnsiTheme="minorHAnsi" w:cstheme="minorBidi"/>
        </w:rPr>
        <w:t xml:space="preserve"> heitkoguseid </w:t>
      </w:r>
      <w:r>
        <w:rPr>
          <w:rFonts w:asciiTheme="minorHAnsi" w:hAnsiTheme="minorHAnsi" w:cstheme="minorBidi"/>
        </w:rPr>
        <w:t>ega</w:t>
      </w:r>
      <w:r w:rsidRPr="490A73E8">
        <w:rPr>
          <w:rFonts w:asciiTheme="minorHAnsi" w:hAnsiTheme="minorHAnsi" w:cstheme="minorBidi"/>
        </w:rPr>
        <w:t xml:space="preserve"> tekita üldse või tekitab väga väikeses koguses kasutusaegseid kasvuhoonegaaside heiteid.</w:t>
      </w:r>
    </w:p>
    <w:p w14:paraId="6103C483" w14:textId="77777777" w:rsidR="00B731C3" w:rsidRDefault="00B731C3" w:rsidP="00B731C3">
      <w:pPr>
        <w:pStyle w:val="muudetavtekst"/>
        <w:rPr>
          <w:rFonts w:asciiTheme="minorHAnsi" w:hAnsiTheme="minorHAnsi" w:cstheme="minorHAnsi"/>
        </w:rPr>
      </w:pPr>
    </w:p>
    <w:p w14:paraId="6896AD67" w14:textId="77777777" w:rsidR="00B731C3" w:rsidRDefault="00B731C3" w:rsidP="00B731C3">
      <w:pPr>
        <w:pStyle w:val="muudetavtekst"/>
      </w:pPr>
      <w:r w:rsidRPr="21AECC3B">
        <w:rPr>
          <w:rFonts w:asciiTheme="minorHAnsi" w:hAnsiTheme="minorHAnsi" w:cstheme="minorBidi"/>
          <w:b/>
        </w:rPr>
        <w:t>Punktiga 2</w:t>
      </w:r>
      <w:r>
        <w:rPr>
          <w:rFonts w:asciiTheme="minorHAnsi" w:hAnsiTheme="minorHAnsi" w:cstheme="minorBidi"/>
          <w:b/>
        </w:rPr>
        <w:t>8</w:t>
      </w:r>
      <w:r w:rsidRPr="21AECC3B">
        <w:rPr>
          <w:rFonts w:asciiTheme="minorHAnsi" w:hAnsiTheme="minorHAnsi" w:cstheme="minorBidi"/>
          <w:b/>
        </w:rPr>
        <w:t xml:space="preserve"> </w:t>
      </w:r>
      <w:r w:rsidRPr="21AECC3B">
        <w:rPr>
          <w:rFonts w:asciiTheme="minorHAnsi" w:hAnsiTheme="minorHAnsi" w:cstheme="minorBidi"/>
        </w:rPr>
        <w:t>täiendatakse EnKS</w:t>
      </w:r>
      <w:r>
        <w:rPr>
          <w:rFonts w:asciiTheme="minorHAnsi" w:hAnsiTheme="minorHAnsi" w:cstheme="minorBidi"/>
        </w:rPr>
        <w:t>i</w:t>
      </w:r>
      <w:r w:rsidRPr="21AECC3B">
        <w:rPr>
          <w:rFonts w:asciiTheme="minorHAnsi" w:hAnsiTheme="minorHAnsi" w:cstheme="minorBidi"/>
        </w:rPr>
        <w:t xml:space="preserve"> </w:t>
      </w:r>
      <w:r w:rsidRPr="005106DA">
        <w:rPr>
          <w:rFonts w:asciiTheme="minorHAnsi" w:hAnsiTheme="minorHAnsi" w:cstheme="minorBidi"/>
        </w:rPr>
        <w:t>§</w:t>
      </w:r>
      <w:r w:rsidRPr="21AECC3B">
        <w:rPr>
          <w:rFonts w:asciiTheme="minorHAnsi" w:hAnsiTheme="minorHAnsi" w:cstheme="minorBidi"/>
        </w:rPr>
        <w:t xml:space="preserve"> 5 lõikega 12</w:t>
      </w:r>
      <w:r>
        <w:rPr>
          <w:rFonts w:asciiTheme="minorHAnsi" w:hAnsiTheme="minorHAnsi" w:cstheme="minorBidi"/>
        </w:rPr>
        <w:t>,</w:t>
      </w:r>
      <w:r w:rsidRPr="21AECC3B">
        <w:rPr>
          <w:rFonts w:asciiTheme="minorHAnsi" w:hAnsiTheme="minorHAnsi" w:cstheme="minorBidi"/>
        </w:rPr>
        <w:t xml:space="preserve"> </w:t>
      </w:r>
      <w:r>
        <w:rPr>
          <w:rFonts w:asciiTheme="minorHAnsi" w:hAnsiTheme="minorHAnsi" w:cstheme="minorBidi"/>
        </w:rPr>
        <w:t xml:space="preserve">millega võetakse üle direktiivi artikkel 29 lõige 4. Lõikega 12 sätestatakse </w:t>
      </w:r>
      <w:r w:rsidRPr="0C798B36">
        <w:rPr>
          <w:rFonts w:asciiTheme="minorHAnsi" w:hAnsiTheme="minorHAnsi" w:cstheme="minorBidi"/>
        </w:rPr>
        <w:t>sätesta</w:t>
      </w:r>
      <w:r>
        <w:rPr>
          <w:rFonts w:asciiTheme="minorHAnsi" w:hAnsiTheme="minorHAnsi" w:cstheme="minorBidi"/>
        </w:rPr>
        <w:t xml:space="preserve">des </w:t>
      </w:r>
      <w:r w:rsidRPr="0C798B36">
        <w:rPr>
          <w:rFonts w:asciiTheme="minorHAnsi" w:hAnsiTheme="minorHAnsi" w:cstheme="minorBidi"/>
        </w:rPr>
        <w:t xml:space="preserve">kohustus </w:t>
      </w:r>
      <w:r w:rsidRPr="787EB060">
        <w:rPr>
          <w:rFonts w:asciiTheme="minorHAnsi" w:hAnsiTheme="minorHAnsi" w:cstheme="minorBidi"/>
        </w:rPr>
        <w:t xml:space="preserve">hinnata </w:t>
      </w:r>
      <w:r>
        <w:t xml:space="preserve">energiatõhususe lepingute ja muude tulemuspõhiste energiateenuste kasutamise teostatavust </w:t>
      </w:r>
      <w:r w:rsidRPr="7B1433F7">
        <w:rPr>
          <w:rFonts w:asciiTheme="minorHAnsi" w:hAnsiTheme="minorHAnsi" w:cstheme="minorBidi"/>
        </w:rPr>
        <w:t>olukorras, kus</w:t>
      </w:r>
      <w:r w:rsidRPr="21AECC3B">
        <w:rPr>
          <w:rFonts w:asciiTheme="minorHAnsi" w:hAnsiTheme="minorHAnsi" w:cstheme="minorBidi"/>
        </w:rPr>
        <w:t xml:space="preserve"> avaliku sektori asutus plaanib rekonstrueerida </w:t>
      </w:r>
      <w:r w:rsidRPr="787EB060">
        <w:rPr>
          <w:rFonts w:asciiTheme="minorHAnsi" w:hAnsiTheme="minorHAnsi" w:cstheme="minorBidi"/>
        </w:rPr>
        <w:t>hoonet</w:t>
      </w:r>
      <w:r w:rsidRPr="7B1433F7">
        <w:rPr>
          <w:rFonts w:asciiTheme="minorHAnsi" w:hAnsiTheme="minorHAnsi" w:cstheme="minorBidi"/>
        </w:rPr>
        <w:t>,</w:t>
      </w:r>
      <w:r w:rsidRPr="21AECC3B">
        <w:rPr>
          <w:rFonts w:asciiTheme="minorHAnsi" w:hAnsiTheme="minorHAnsi" w:cstheme="minorBidi"/>
        </w:rPr>
        <w:t xml:space="preserve"> mille üldpõrandapind on suurem kui </w:t>
      </w:r>
      <w:r>
        <w:rPr>
          <w:rFonts w:asciiTheme="minorHAnsi" w:hAnsiTheme="minorHAnsi" w:cstheme="minorBidi"/>
        </w:rPr>
        <w:t>750 m</w:t>
      </w:r>
      <w:r>
        <w:rPr>
          <w:rFonts w:asciiTheme="minorHAnsi" w:hAnsiTheme="minorHAnsi" w:cstheme="minorBidi"/>
          <w:vertAlign w:val="superscript"/>
        </w:rPr>
        <w:t>2</w:t>
      </w:r>
      <w:r>
        <w:t>. Energiatõhususe leping</w:t>
      </w:r>
      <w:r>
        <w:rPr>
          <w:rStyle w:val="Allmrkuseviide"/>
        </w:rPr>
        <w:footnoteReference w:id="48"/>
      </w:r>
      <w:r>
        <w:t xml:space="preserve"> on juba kehtiv mõiste (EnKS § 2 lg 13), mida eelnõus ei muudeta. Energiatõhususe lepingu puhul väldib energiateenuse saaja investeerimiskulusid, kasutades osa energiasäästu finantsväärtusest selleks, et maksta täielikult või osaliselt investeeringu eest, mille on teinud kolmas isik.</w:t>
      </w:r>
    </w:p>
    <w:p w14:paraId="7787441F" w14:textId="77777777" w:rsidR="00B731C3" w:rsidRPr="00273219" w:rsidRDefault="00B731C3" w:rsidP="00B731C3">
      <w:pPr>
        <w:pStyle w:val="muudetavtekst"/>
        <w:rPr>
          <w:rFonts w:asciiTheme="minorHAnsi" w:hAnsiTheme="minorHAnsi" w:cstheme="minorBidi"/>
        </w:rPr>
      </w:pPr>
      <w:r>
        <w:t>Energiatõhususe koordinaator on küll välja töötanud energiatõhususe lepingu näidise</w:t>
      </w:r>
      <w:r>
        <w:rPr>
          <w:rStyle w:val="Allmrkuseviide"/>
        </w:rPr>
        <w:footnoteReference w:id="49"/>
      </w:r>
      <w:r>
        <w:t>, kuid praktilist kasutust ei ole see seni leidnud. Energiatõhususe lepingud ei ole Eestis siiski levinud, pigem eelistatakse ise olla rekonstrueerimistööde tellija.</w:t>
      </w:r>
    </w:p>
    <w:p w14:paraId="1B4D5532" w14:textId="77777777" w:rsidR="00B731C3" w:rsidRDefault="00B731C3" w:rsidP="00B731C3">
      <w:pPr>
        <w:pStyle w:val="muudetavtekst"/>
      </w:pPr>
      <w:r>
        <w:t xml:space="preserve">Avaliku sektori eeskuju energiatõhususe lepingutest (alustades selle mõtteviisi kaalumisest) aitab ligi meelitada erakapitali ja luua uuenduslikke ärimudeleid, mis on EL hoonete renoveerimise määra suurendamise võti. </w:t>
      </w:r>
    </w:p>
    <w:p w14:paraId="00CA236E" w14:textId="77777777" w:rsidR="00B731C3" w:rsidRDefault="00B731C3" w:rsidP="00B731C3">
      <w:pPr>
        <w:pStyle w:val="muudetavtekst"/>
      </w:pPr>
    </w:p>
    <w:p w14:paraId="65BDD247" w14:textId="77777777" w:rsidR="00B731C3" w:rsidRDefault="00B731C3" w:rsidP="00B731C3">
      <w:pPr>
        <w:pStyle w:val="muudetavtekst"/>
      </w:pPr>
      <w:r w:rsidRPr="00AA475F">
        <w:rPr>
          <w:b/>
          <w:bCs/>
        </w:rPr>
        <w:t xml:space="preserve">Punktiga </w:t>
      </w:r>
      <w:r>
        <w:rPr>
          <w:b/>
          <w:bCs/>
        </w:rPr>
        <w:t>29</w:t>
      </w:r>
      <w:r>
        <w:t xml:space="preserve"> </w:t>
      </w:r>
      <w:r w:rsidRPr="00B01F2B">
        <w:t>asendatakse EnKS</w:t>
      </w:r>
      <w:r>
        <w:t>i</w:t>
      </w:r>
      <w:r w:rsidRPr="00B01F2B">
        <w:t xml:space="preserve"> </w:t>
      </w:r>
      <w:r w:rsidRPr="005106DA">
        <w:rPr>
          <w:rFonts w:asciiTheme="minorHAnsi" w:hAnsiTheme="minorHAnsi" w:cstheme="minorBidi"/>
        </w:rPr>
        <w:t>§</w:t>
      </w:r>
      <w:r w:rsidRPr="00B01F2B">
        <w:t xml:space="preserve"> </w:t>
      </w:r>
      <w:r>
        <w:t>6</w:t>
      </w:r>
      <w:r w:rsidRPr="00B01F2B">
        <w:t xml:space="preserve"> sõna </w:t>
      </w:r>
      <w:r>
        <w:t>„</w:t>
      </w:r>
      <w:r w:rsidRPr="00B01F2B">
        <w:t>keskvalitsus</w:t>
      </w:r>
      <w:r>
        <w:t>“</w:t>
      </w:r>
      <w:r w:rsidRPr="00B01F2B">
        <w:t xml:space="preserve"> sõnadega „avaliku sektori asutus“</w:t>
      </w:r>
      <w:r>
        <w:t>.</w:t>
      </w:r>
      <w:r w:rsidRPr="00B01F2B">
        <w:t xml:space="preserve"> Tegemist</w:t>
      </w:r>
      <w:r>
        <w:t xml:space="preserve"> on</w:t>
      </w:r>
      <w:r w:rsidRPr="00B01F2B">
        <w:t xml:space="preserve"> tehnilise muudatusega</w:t>
      </w:r>
      <w:r>
        <w:t>. Paragrahv käsitleb a</w:t>
      </w:r>
      <w:r w:rsidRPr="00BD2381">
        <w:t>valiku sektori asutuste energiatõhusa</w:t>
      </w:r>
      <w:r>
        <w:t>i</w:t>
      </w:r>
      <w:r w:rsidRPr="00BD2381">
        <w:t>d ost</w:t>
      </w:r>
      <w:r>
        <w:t>e, mis seni on olnud keskvalitsuse kohustus, kuid nüüd kohuslaste ring laieneb mõiste laiendamise tõttu (vt seletuskirja § 1 p 1).</w:t>
      </w:r>
    </w:p>
    <w:p w14:paraId="3E38EB26" w14:textId="77777777" w:rsidR="00B731C3" w:rsidRDefault="00B731C3" w:rsidP="00B731C3">
      <w:pPr>
        <w:pStyle w:val="muudetavtekst"/>
        <w:rPr>
          <w:rFonts w:asciiTheme="minorHAnsi" w:hAnsiTheme="minorHAnsi" w:cstheme="minorHAnsi"/>
        </w:rPr>
      </w:pPr>
    </w:p>
    <w:p w14:paraId="28A1F1B0" w14:textId="77777777" w:rsidR="00B731C3" w:rsidRDefault="00B731C3" w:rsidP="00B731C3">
      <w:pPr>
        <w:spacing w:after="0" w:line="240" w:lineRule="auto"/>
        <w:jc w:val="both"/>
        <w:rPr>
          <w:rFonts w:ascii="Times New Roman" w:eastAsia="Times New Roman" w:hAnsi="Times New Roman" w:cs="Times New Roman"/>
          <w:sz w:val="24"/>
          <w:szCs w:val="24"/>
          <w:lang w:eastAsia="et-EE"/>
        </w:rPr>
      </w:pPr>
      <w:r w:rsidRPr="1C4907DA">
        <w:rPr>
          <w:b/>
        </w:rPr>
        <w:t xml:space="preserve">Punktiga </w:t>
      </w:r>
      <w:r>
        <w:rPr>
          <w:b/>
        </w:rPr>
        <w:t>30</w:t>
      </w:r>
      <w:r w:rsidRPr="1C4907DA">
        <w:rPr>
          <w:b/>
        </w:rPr>
        <w:t xml:space="preserve"> </w:t>
      </w:r>
      <w:r w:rsidRPr="1C4907DA">
        <w:t>täiendatakse EnKS</w:t>
      </w:r>
      <w:r>
        <w:t>i</w:t>
      </w:r>
      <w:r w:rsidRPr="1C4907DA">
        <w:t xml:space="preserve"> </w:t>
      </w:r>
      <w:r w:rsidRPr="005106DA">
        <w:t>§</w:t>
      </w:r>
      <w:r>
        <w:t xml:space="preserve"> </w:t>
      </w:r>
      <w:r w:rsidRPr="1C4907DA">
        <w:rPr>
          <w:rFonts w:ascii="Times New Roman" w:eastAsia="Times New Roman" w:hAnsi="Times New Roman" w:cs="Times New Roman"/>
          <w:sz w:val="24"/>
          <w:szCs w:val="24"/>
          <w:lang w:eastAsia="et-EE"/>
        </w:rPr>
        <w:t xml:space="preserve">6 lõiget 3 pärast sõna </w:t>
      </w:r>
      <w:r>
        <w:rPr>
          <w:rFonts w:ascii="Times New Roman" w:eastAsia="Times New Roman" w:hAnsi="Times New Roman" w:cs="Times New Roman"/>
          <w:sz w:val="24"/>
          <w:szCs w:val="24"/>
          <w:lang w:eastAsia="et-EE"/>
        </w:rPr>
        <w:t>„</w:t>
      </w:r>
      <w:r w:rsidRPr="1C4907DA">
        <w:rPr>
          <w:rFonts w:ascii="Times New Roman" w:eastAsia="Times New Roman" w:hAnsi="Times New Roman" w:cs="Times New Roman"/>
          <w:sz w:val="24"/>
          <w:szCs w:val="24"/>
          <w:lang w:eastAsia="et-EE"/>
        </w:rPr>
        <w:t>suurem</w:t>
      </w:r>
      <w:r>
        <w:rPr>
          <w:rFonts w:ascii="Times New Roman" w:eastAsia="Times New Roman" w:hAnsi="Times New Roman" w:cs="Times New Roman"/>
          <w:sz w:val="24"/>
          <w:szCs w:val="24"/>
          <w:lang w:eastAsia="et-EE"/>
        </w:rPr>
        <w:t>“</w:t>
      </w:r>
      <w:r w:rsidRPr="1C4907DA">
        <w:rPr>
          <w:rFonts w:ascii="Times New Roman" w:eastAsia="Times New Roman" w:hAnsi="Times New Roman" w:cs="Times New Roman"/>
          <w:sz w:val="24"/>
          <w:szCs w:val="24"/>
          <w:lang w:eastAsia="et-EE"/>
        </w:rPr>
        <w:t xml:space="preserve"> tekstiosaga </w:t>
      </w:r>
      <w:r>
        <w:rPr>
          <w:rFonts w:ascii="Times New Roman" w:eastAsia="Times New Roman" w:hAnsi="Times New Roman" w:cs="Times New Roman"/>
          <w:sz w:val="24"/>
          <w:szCs w:val="24"/>
          <w:lang w:eastAsia="et-EE"/>
        </w:rPr>
        <w:t>„</w:t>
      </w:r>
      <w:r w:rsidRPr="1C4907DA">
        <w:rPr>
          <w:rFonts w:ascii="Times New Roman" w:eastAsia="Times New Roman" w:hAnsi="Times New Roman" w:cs="Times New Roman"/>
          <w:sz w:val="24"/>
          <w:szCs w:val="24"/>
          <w:lang w:eastAsia="et-EE"/>
        </w:rPr>
        <w:t xml:space="preserve">, samuti arvestatakse § </w:t>
      </w:r>
      <w:r>
        <w:rPr>
          <w:rFonts w:ascii="Times New Roman" w:eastAsia="Times New Roman" w:hAnsi="Times New Roman" w:cs="Times New Roman"/>
          <w:sz w:val="24"/>
          <w:szCs w:val="24"/>
          <w:lang w:eastAsia="et-EE"/>
        </w:rPr>
        <w:t>2</w:t>
      </w:r>
      <w:r w:rsidRPr="1C4907DA">
        <w:rPr>
          <w:rFonts w:ascii="Times New Roman" w:eastAsia="Times New Roman" w:hAnsi="Times New Roman" w:cs="Times New Roman"/>
          <w:sz w:val="24"/>
          <w:szCs w:val="24"/>
          <w:vertAlign w:val="superscript"/>
          <w:lang w:eastAsia="et-EE"/>
        </w:rPr>
        <w:t>1</w:t>
      </w:r>
      <w:r w:rsidRPr="1C4907DA">
        <w:rPr>
          <w:rFonts w:ascii="Times New Roman" w:eastAsia="Times New Roman" w:hAnsi="Times New Roman" w:cs="Times New Roman"/>
          <w:sz w:val="24"/>
          <w:szCs w:val="24"/>
          <w:lang w:eastAsia="et-EE"/>
        </w:rPr>
        <w:t xml:space="preserve"> energiatõhususe esikohale seadmise põhimõtet</w:t>
      </w:r>
      <w:r>
        <w:rPr>
          <w:rFonts w:ascii="Times New Roman" w:eastAsia="Times New Roman" w:hAnsi="Times New Roman" w:cs="Times New Roman"/>
          <w:sz w:val="24"/>
          <w:szCs w:val="24"/>
          <w:lang w:eastAsia="et-EE"/>
        </w:rPr>
        <w:t>“.</w:t>
      </w:r>
      <w:r w:rsidRPr="1C4907DA">
        <w:rPr>
          <w:rFonts w:ascii="Times New Roman" w:eastAsia="Times New Roman" w:hAnsi="Times New Roman" w:cs="Times New Roman"/>
          <w:sz w:val="24"/>
          <w:szCs w:val="24"/>
          <w:lang w:eastAsia="et-EE"/>
        </w:rPr>
        <w:t xml:space="preserve"> </w:t>
      </w:r>
      <w:r>
        <w:rPr>
          <w:rFonts w:ascii="Times New Roman" w:eastAsia="Times New Roman" w:hAnsi="Times New Roman" w:cs="Times New Roman"/>
          <w:sz w:val="24"/>
          <w:szCs w:val="24"/>
          <w:lang w:eastAsia="et-EE"/>
        </w:rPr>
        <w:t>Võetakse üle direktiivi artikkel 7 lõige 1. T</w:t>
      </w:r>
      <w:r w:rsidRPr="1C4907DA">
        <w:rPr>
          <w:rFonts w:ascii="Times New Roman" w:eastAsia="Times New Roman" w:hAnsi="Times New Roman" w:cs="Times New Roman"/>
          <w:sz w:val="24"/>
          <w:szCs w:val="24"/>
          <w:lang w:eastAsia="et-EE"/>
        </w:rPr>
        <w:t>äiendus</w:t>
      </w:r>
      <w:r>
        <w:rPr>
          <w:rFonts w:ascii="Times New Roman" w:eastAsia="Times New Roman" w:hAnsi="Times New Roman" w:cs="Times New Roman"/>
          <w:sz w:val="24"/>
          <w:szCs w:val="24"/>
          <w:lang w:eastAsia="et-EE"/>
        </w:rPr>
        <w:t>e järgi tuleb</w:t>
      </w:r>
      <w:r w:rsidRPr="1C4907DA">
        <w:rPr>
          <w:rFonts w:ascii="Times New Roman" w:eastAsia="Times New Roman" w:hAnsi="Times New Roman" w:cs="Times New Roman"/>
          <w:sz w:val="24"/>
          <w:szCs w:val="24"/>
          <w:lang w:eastAsia="et-EE"/>
        </w:rPr>
        <w:t xml:space="preserve"> ka avaliku sektori ostude puhul kaaluda energiatõhususele esikohale seadmist. Näiteks </w:t>
      </w:r>
      <w:r>
        <w:rPr>
          <w:rFonts w:ascii="Times New Roman" w:eastAsia="Times New Roman" w:hAnsi="Times New Roman" w:cs="Times New Roman"/>
          <w:sz w:val="24"/>
          <w:szCs w:val="24"/>
          <w:lang w:eastAsia="et-EE"/>
        </w:rPr>
        <w:t xml:space="preserve">kui </w:t>
      </w:r>
      <w:r w:rsidRPr="1C4907DA">
        <w:rPr>
          <w:rFonts w:ascii="Times New Roman" w:eastAsia="Times New Roman" w:hAnsi="Times New Roman" w:cs="Times New Roman"/>
          <w:sz w:val="24"/>
          <w:szCs w:val="24"/>
          <w:lang w:eastAsia="et-EE"/>
        </w:rPr>
        <w:t>energiakulude kokkuhoiuks</w:t>
      </w:r>
      <w:r>
        <w:rPr>
          <w:rFonts w:ascii="Times New Roman" w:eastAsia="Times New Roman" w:hAnsi="Times New Roman" w:cs="Times New Roman"/>
          <w:sz w:val="24"/>
          <w:szCs w:val="24"/>
          <w:lang w:eastAsia="et-EE"/>
        </w:rPr>
        <w:t xml:space="preserve"> soovitakse </w:t>
      </w:r>
      <w:r w:rsidRPr="1C4907DA">
        <w:rPr>
          <w:rFonts w:ascii="Times New Roman" w:eastAsia="Times New Roman" w:hAnsi="Times New Roman" w:cs="Times New Roman"/>
          <w:sz w:val="24"/>
          <w:szCs w:val="24"/>
          <w:lang w:eastAsia="et-EE"/>
        </w:rPr>
        <w:t>rekonstrueerimata hoone</w:t>
      </w:r>
      <w:r>
        <w:rPr>
          <w:rFonts w:ascii="Times New Roman" w:eastAsia="Times New Roman" w:hAnsi="Times New Roman" w:cs="Times New Roman"/>
          <w:sz w:val="24"/>
          <w:szCs w:val="24"/>
          <w:lang w:eastAsia="et-EE"/>
        </w:rPr>
        <w:t>sse</w:t>
      </w:r>
      <w:r w:rsidRPr="1C4907DA">
        <w:rPr>
          <w:rFonts w:ascii="Times New Roman" w:eastAsia="Times New Roman" w:hAnsi="Times New Roman" w:cs="Times New Roman"/>
          <w:sz w:val="24"/>
          <w:szCs w:val="24"/>
          <w:lang w:eastAsia="et-EE"/>
        </w:rPr>
        <w:t xml:space="preserve"> paigaldada soojuspumpa</w:t>
      </w:r>
      <w:r>
        <w:rPr>
          <w:rFonts w:ascii="Times New Roman" w:eastAsia="Times New Roman" w:hAnsi="Times New Roman" w:cs="Times New Roman"/>
          <w:sz w:val="24"/>
          <w:szCs w:val="24"/>
          <w:lang w:eastAsia="et-EE"/>
        </w:rPr>
        <w:t>.</w:t>
      </w:r>
      <w:r w:rsidRPr="1C4907DA">
        <w:rPr>
          <w:rFonts w:ascii="Times New Roman" w:eastAsia="Times New Roman" w:hAnsi="Times New Roman" w:cs="Times New Roman"/>
          <w:sz w:val="24"/>
          <w:szCs w:val="24"/>
          <w:lang w:eastAsia="et-EE"/>
        </w:rPr>
        <w:t xml:space="preserve"> </w:t>
      </w:r>
      <w:r>
        <w:rPr>
          <w:rFonts w:ascii="Times New Roman" w:eastAsia="Times New Roman" w:hAnsi="Times New Roman" w:cs="Times New Roman"/>
          <w:sz w:val="24"/>
          <w:szCs w:val="24"/>
          <w:lang w:eastAsia="et-EE"/>
        </w:rPr>
        <w:t>Siis t</w:t>
      </w:r>
      <w:r w:rsidRPr="1C4907DA">
        <w:rPr>
          <w:rFonts w:ascii="Times New Roman" w:eastAsia="Times New Roman" w:hAnsi="Times New Roman" w:cs="Times New Roman"/>
          <w:sz w:val="24"/>
          <w:szCs w:val="24"/>
          <w:lang w:eastAsia="et-EE"/>
        </w:rPr>
        <w:t xml:space="preserve">uleks </w:t>
      </w:r>
      <w:r>
        <w:rPr>
          <w:rFonts w:ascii="Times New Roman" w:eastAsia="Times New Roman" w:hAnsi="Times New Roman" w:cs="Times New Roman"/>
          <w:sz w:val="24"/>
          <w:szCs w:val="24"/>
          <w:lang w:eastAsia="et-EE"/>
        </w:rPr>
        <w:t>kaaluda ka hoone soojustamist kombinatsioonis väiksema v</w:t>
      </w:r>
      <w:r w:rsidRPr="1C4907DA">
        <w:rPr>
          <w:rFonts w:ascii="Times New Roman" w:eastAsia="Times New Roman" w:hAnsi="Times New Roman" w:cs="Times New Roman"/>
          <w:sz w:val="24"/>
          <w:szCs w:val="24"/>
          <w:lang w:eastAsia="et-EE"/>
        </w:rPr>
        <w:t>õimsusega soojuspum</w:t>
      </w:r>
      <w:r>
        <w:rPr>
          <w:rFonts w:ascii="Times New Roman" w:eastAsia="Times New Roman" w:hAnsi="Times New Roman" w:cs="Times New Roman"/>
          <w:sz w:val="24"/>
          <w:szCs w:val="24"/>
          <w:lang w:eastAsia="et-EE"/>
        </w:rPr>
        <w:t>baga, mis võib olla kulutõhusam kui võimsama soojuspumba valik.</w:t>
      </w:r>
    </w:p>
    <w:p w14:paraId="67C1C174" w14:textId="77777777" w:rsidR="00B731C3" w:rsidRDefault="00B731C3" w:rsidP="00B731C3">
      <w:pPr>
        <w:spacing w:after="0" w:line="240" w:lineRule="auto"/>
        <w:jc w:val="both"/>
        <w:rPr>
          <w:rFonts w:ascii="Times New Roman" w:eastAsia="Times New Roman" w:hAnsi="Times New Roman" w:cs="Times New Roman"/>
          <w:sz w:val="24"/>
          <w:szCs w:val="20"/>
          <w:lang w:eastAsia="et-EE"/>
        </w:rPr>
      </w:pPr>
    </w:p>
    <w:p w14:paraId="0F277B26" w14:textId="77777777" w:rsidR="00B731C3" w:rsidRDefault="00B731C3" w:rsidP="00B731C3">
      <w:pPr>
        <w:spacing w:after="0" w:line="240" w:lineRule="auto"/>
        <w:jc w:val="both"/>
        <w:rPr>
          <w:rFonts w:ascii="Times New Roman" w:eastAsia="Times New Roman" w:hAnsi="Times New Roman" w:cs="Times New Roman"/>
          <w:sz w:val="24"/>
          <w:szCs w:val="20"/>
          <w:lang w:eastAsia="et-EE"/>
        </w:rPr>
      </w:pPr>
      <w:r w:rsidRPr="00B67D06">
        <w:rPr>
          <w:rFonts w:ascii="Times New Roman" w:eastAsia="Times New Roman" w:hAnsi="Times New Roman" w:cs="Times New Roman"/>
          <w:b/>
          <w:bCs/>
          <w:sz w:val="24"/>
          <w:szCs w:val="20"/>
          <w:lang w:eastAsia="et-EE"/>
        </w:rPr>
        <w:t xml:space="preserve">Punktiga </w:t>
      </w:r>
      <w:r>
        <w:rPr>
          <w:rFonts w:ascii="Times New Roman" w:eastAsia="Times New Roman" w:hAnsi="Times New Roman" w:cs="Times New Roman"/>
          <w:b/>
          <w:bCs/>
          <w:sz w:val="24"/>
          <w:szCs w:val="20"/>
          <w:lang w:eastAsia="et-EE"/>
        </w:rPr>
        <w:t>31</w:t>
      </w:r>
      <w:r>
        <w:rPr>
          <w:rFonts w:ascii="Times New Roman" w:eastAsia="Times New Roman" w:hAnsi="Times New Roman" w:cs="Times New Roman"/>
          <w:sz w:val="24"/>
          <w:szCs w:val="20"/>
          <w:lang w:eastAsia="et-EE"/>
        </w:rPr>
        <w:t xml:space="preserve"> täiendatakse EnKSi </w:t>
      </w:r>
      <w:r w:rsidRPr="005106DA">
        <w:t>§</w:t>
      </w:r>
      <w:r>
        <w:rPr>
          <w:rFonts w:ascii="Times New Roman" w:eastAsia="Times New Roman" w:hAnsi="Times New Roman" w:cs="Times New Roman"/>
          <w:sz w:val="24"/>
          <w:szCs w:val="20"/>
          <w:lang w:eastAsia="et-EE"/>
        </w:rPr>
        <w:t xml:space="preserve"> 6 lõikega 3</w:t>
      </w:r>
      <w:r>
        <w:rPr>
          <w:rFonts w:ascii="Times New Roman" w:eastAsia="Times New Roman" w:hAnsi="Times New Roman" w:cs="Times New Roman"/>
          <w:sz w:val="24"/>
          <w:szCs w:val="20"/>
          <w:vertAlign w:val="superscript"/>
          <w:lang w:eastAsia="et-EE"/>
        </w:rPr>
        <w:t>1</w:t>
      </w:r>
      <w:r>
        <w:rPr>
          <w:rFonts w:ascii="Times New Roman" w:eastAsia="Times New Roman" w:hAnsi="Times New Roman" w:cs="Times New Roman"/>
          <w:sz w:val="24"/>
          <w:szCs w:val="20"/>
          <w:lang w:eastAsia="et-EE"/>
        </w:rPr>
        <w:t>. Võetakse üle direktiivi artikkel 7 lõige 3. A</w:t>
      </w:r>
      <w:r w:rsidRPr="004429F4">
        <w:rPr>
          <w:rFonts w:ascii="Times New Roman" w:eastAsia="Times New Roman" w:hAnsi="Times New Roman" w:cs="Times New Roman"/>
          <w:sz w:val="24"/>
          <w:szCs w:val="20"/>
          <w:lang w:eastAsia="et-EE"/>
        </w:rPr>
        <w:t>valiku sektori ja võrgustiku sektori hankijad hindavad olulise energia osakaaluga teenuslepingute hangete korral, kas saaks sõlmida pikaajalist energiatõhusust andvaid lepinguid, mille tulemusena saavutatakse pikaajaline energiasääst.</w:t>
      </w:r>
      <w:r>
        <w:rPr>
          <w:rFonts w:ascii="Times New Roman" w:eastAsia="Times New Roman" w:hAnsi="Times New Roman" w:cs="Times New Roman"/>
          <w:sz w:val="24"/>
          <w:szCs w:val="20"/>
          <w:lang w:eastAsia="et-EE"/>
        </w:rPr>
        <w:t xml:space="preserve"> </w:t>
      </w:r>
      <w:r w:rsidRPr="00DF0F8F">
        <w:rPr>
          <w:rFonts w:ascii="Times New Roman" w:eastAsia="Times New Roman" w:hAnsi="Times New Roman" w:cs="Times New Roman"/>
          <w:sz w:val="24"/>
          <w:szCs w:val="20"/>
          <w:lang w:eastAsia="et-EE"/>
        </w:rPr>
        <w:t>Olulise energia osakaaluga teenuslepingud on näiteks kütte- või transporditeenuste lepingud, hoonete või tänavavalgustuse hoolduslepingud või energiat tarbivate rajatiste haldamise lepingud</w:t>
      </w:r>
      <w:r>
        <w:rPr>
          <w:rFonts w:ascii="Times New Roman" w:eastAsia="Times New Roman" w:hAnsi="Times New Roman" w:cs="Times New Roman"/>
          <w:sz w:val="24"/>
          <w:szCs w:val="20"/>
          <w:lang w:eastAsia="et-EE"/>
        </w:rPr>
        <w:t>. See eeldab taas energiateenuse turu arenemist ja uute ärimudelite tekkimist, kus avaliku sektori asutused saavad olla suunanäitajaks.</w:t>
      </w:r>
    </w:p>
    <w:p w14:paraId="78AC2BE1" w14:textId="77777777" w:rsidR="00B731C3" w:rsidRDefault="00B731C3" w:rsidP="00B731C3">
      <w:pPr>
        <w:spacing w:after="0" w:line="240" w:lineRule="auto"/>
        <w:jc w:val="both"/>
        <w:rPr>
          <w:rFonts w:ascii="Times New Roman" w:eastAsia="Times New Roman" w:hAnsi="Times New Roman" w:cs="Times New Roman"/>
          <w:sz w:val="24"/>
          <w:szCs w:val="20"/>
          <w:lang w:eastAsia="et-EE"/>
        </w:rPr>
      </w:pPr>
    </w:p>
    <w:p w14:paraId="001C5718" w14:textId="77777777" w:rsidR="00B731C3" w:rsidRDefault="00B731C3" w:rsidP="00B731C3">
      <w:pPr>
        <w:spacing w:after="0" w:line="240" w:lineRule="auto"/>
        <w:jc w:val="both"/>
        <w:rPr>
          <w:rFonts w:ascii="Times New Roman" w:eastAsia="Times New Roman" w:hAnsi="Times New Roman" w:cs="Times New Roman"/>
          <w:sz w:val="24"/>
          <w:szCs w:val="20"/>
          <w:lang w:eastAsia="et-EE"/>
        </w:rPr>
      </w:pPr>
      <w:r w:rsidRPr="00750CBA">
        <w:rPr>
          <w:rFonts w:ascii="Times New Roman" w:eastAsia="Times New Roman" w:hAnsi="Times New Roman" w:cs="Times New Roman"/>
          <w:b/>
          <w:bCs/>
          <w:sz w:val="24"/>
          <w:szCs w:val="20"/>
          <w:lang w:eastAsia="et-EE"/>
        </w:rPr>
        <w:lastRenderedPageBreak/>
        <w:t xml:space="preserve">Punktiga </w:t>
      </w:r>
      <w:r>
        <w:rPr>
          <w:rFonts w:ascii="Times New Roman" w:eastAsia="Times New Roman" w:hAnsi="Times New Roman" w:cs="Times New Roman"/>
          <w:b/>
          <w:bCs/>
          <w:sz w:val="24"/>
          <w:szCs w:val="20"/>
          <w:lang w:eastAsia="et-EE"/>
        </w:rPr>
        <w:t>32</w:t>
      </w:r>
      <w:r>
        <w:rPr>
          <w:rFonts w:ascii="Times New Roman" w:eastAsia="Times New Roman" w:hAnsi="Times New Roman" w:cs="Times New Roman"/>
          <w:sz w:val="24"/>
          <w:szCs w:val="20"/>
          <w:lang w:eastAsia="et-EE"/>
        </w:rPr>
        <w:t xml:space="preserve"> </w:t>
      </w:r>
      <w:r w:rsidRPr="00F744B3">
        <w:rPr>
          <w:rFonts w:ascii="Times New Roman" w:eastAsia="Times New Roman" w:hAnsi="Times New Roman" w:cs="Times New Roman"/>
          <w:sz w:val="24"/>
          <w:szCs w:val="20"/>
          <w:lang w:eastAsia="et-EE"/>
        </w:rPr>
        <w:t>täiendatakse EnKS</w:t>
      </w:r>
      <w:r>
        <w:rPr>
          <w:rFonts w:ascii="Times New Roman" w:eastAsia="Times New Roman" w:hAnsi="Times New Roman" w:cs="Times New Roman"/>
          <w:sz w:val="24"/>
          <w:szCs w:val="20"/>
          <w:lang w:eastAsia="et-EE"/>
        </w:rPr>
        <w:t>i</w:t>
      </w:r>
      <w:r w:rsidRPr="00F744B3">
        <w:rPr>
          <w:rFonts w:ascii="Times New Roman" w:eastAsia="Times New Roman" w:hAnsi="Times New Roman" w:cs="Times New Roman"/>
          <w:sz w:val="24"/>
          <w:szCs w:val="20"/>
          <w:lang w:eastAsia="et-EE"/>
        </w:rPr>
        <w:t xml:space="preserve"> </w:t>
      </w:r>
      <w:r w:rsidRPr="005106DA">
        <w:t>§</w:t>
      </w:r>
      <w:r>
        <w:t xml:space="preserve"> </w:t>
      </w:r>
      <w:r w:rsidRPr="00F744B3">
        <w:rPr>
          <w:rFonts w:ascii="Times New Roman" w:eastAsia="Times New Roman" w:hAnsi="Times New Roman" w:cs="Times New Roman"/>
          <w:sz w:val="24"/>
          <w:szCs w:val="20"/>
          <w:lang w:eastAsia="et-EE"/>
        </w:rPr>
        <w:t xml:space="preserve">6 lõikega </w:t>
      </w:r>
      <w:r>
        <w:rPr>
          <w:rFonts w:ascii="Times New Roman" w:eastAsia="Times New Roman" w:hAnsi="Times New Roman" w:cs="Times New Roman"/>
          <w:sz w:val="24"/>
          <w:szCs w:val="20"/>
          <w:lang w:eastAsia="et-EE"/>
        </w:rPr>
        <w:t>4</w:t>
      </w:r>
      <w:r>
        <w:rPr>
          <w:rFonts w:ascii="Times New Roman" w:eastAsia="Times New Roman" w:hAnsi="Times New Roman" w:cs="Times New Roman"/>
          <w:sz w:val="24"/>
          <w:szCs w:val="20"/>
          <w:vertAlign w:val="superscript"/>
          <w:lang w:eastAsia="et-EE"/>
        </w:rPr>
        <w:t>1</w:t>
      </w:r>
      <w:r>
        <w:rPr>
          <w:rFonts w:ascii="Times New Roman" w:eastAsia="Times New Roman" w:hAnsi="Times New Roman" w:cs="Times New Roman"/>
          <w:sz w:val="24"/>
          <w:szCs w:val="20"/>
          <w:lang w:eastAsia="et-EE"/>
        </w:rPr>
        <w:t xml:space="preserve">, mis sätestab, et avaliku sekotri asutus ei pea energiatõhususe nõudeid jälgima, kui </w:t>
      </w:r>
      <w:r w:rsidRPr="00A10A50">
        <w:rPr>
          <w:rFonts w:ascii="Times New Roman" w:eastAsia="Times New Roman" w:hAnsi="Times New Roman" w:cs="Times New Roman"/>
          <w:sz w:val="24"/>
          <w:szCs w:val="20"/>
          <w:lang w:eastAsia="et-EE"/>
        </w:rPr>
        <w:t>see pärsib rahvatervise</w:t>
      </w:r>
      <w:r>
        <w:rPr>
          <w:rFonts w:ascii="Times New Roman" w:eastAsia="Times New Roman" w:hAnsi="Times New Roman" w:cs="Times New Roman"/>
          <w:sz w:val="24"/>
          <w:szCs w:val="20"/>
          <w:lang w:eastAsia="et-EE"/>
        </w:rPr>
        <w:t xml:space="preserve"> </w:t>
      </w:r>
      <w:r w:rsidRPr="00A10A50">
        <w:rPr>
          <w:rFonts w:ascii="Times New Roman" w:eastAsia="Times New Roman" w:hAnsi="Times New Roman" w:cs="Times New Roman"/>
          <w:sz w:val="24"/>
          <w:szCs w:val="20"/>
          <w:lang w:eastAsia="et-EE"/>
        </w:rPr>
        <w:t>hädaolukordadele reageerimist.</w:t>
      </w:r>
      <w:r>
        <w:rPr>
          <w:rFonts w:ascii="Times New Roman" w:eastAsia="Times New Roman" w:hAnsi="Times New Roman" w:cs="Times New Roman"/>
          <w:sz w:val="24"/>
          <w:szCs w:val="20"/>
          <w:lang w:eastAsia="et-EE"/>
        </w:rPr>
        <w:t xml:space="preserve"> Võetakse üle direktiivi artikkel 7 lõige 2, kui leevendusmeede rahvatervise hädaolukorrale, mis täiendab juba olemasolevat erandid relvajõududele (EnKS-i  6 lõige 4). </w:t>
      </w:r>
    </w:p>
    <w:p w14:paraId="5A45ED0A" w14:textId="77777777" w:rsidR="00B731C3" w:rsidRPr="00FC3D64" w:rsidRDefault="00B731C3" w:rsidP="00B731C3">
      <w:pPr>
        <w:spacing w:after="0" w:line="240" w:lineRule="auto"/>
        <w:jc w:val="both"/>
        <w:rPr>
          <w:rFonts w:ascii="Times New Roman" w:eastAsia="Times New Roman" w:hAnsi="Times New Roman" w:cs="Times New Roman"/>
          <w:sz w:val="24"/>
          <w:szCs w:val="20"/>
          <w:lang w:eastAsia="et-EE"/>
        </w:rPr>
      </w:pPr>
      <w:r>
        <w:rPr>
          <w:rFonts w:ascii="Times New Roman" w:eastAsia="Times New Roman" w:hAnsi="Times New Roman" w:cs="Times New Roman"/>
          <w:sz w:val="24"/>
          <w:szCs w:val="20"/>
          <w:lang w:eastAsia="et-EE"/>
        </w:rPr>
        <w:t xml:space="preserve">ELi õigusaktides ametlikku määratlust </w:t>
      </w:r>
      <w:r w:rsidRPr="00B11F0B">
        <w:rPr>
          <w:rFonts w:ascii="Times New Roman" w:eastAsia="Times New Roman" w:hAnsi="Times New Roman" w:cs="Times New Roman"/>
          <w:sz w:val="24"/>
          <w:szCs w:val="20"/>
          <w:lang w:eastAsia="et-EE"/>
        </w:rPr>
        <w:t xml:space="preserve">„rahvatervise hädaolukord“ ei ole, </w:t>
      </w:r>
      <w:r>
        <w:rPr>
          <w:rFonts w:ascii="Times New Roman" w:eastAsia="Times New Roman" w:hAnsi="Times New Roman" w:cs="Times New Roman"/>
          <w:sz w:val="24"/>
          <w:szCs w:val="20"/>
          <w:lang w:eastAsia="et-EE"/>
        </w:rPr>
        <w:t xml:space="preserve">seda </w:t>
      </w:r>
      <w:r w:rsidRPr="00B11F0B">
        <w:rPr>
          <w:rFonts w:ascii="Times New Roman" w:eastAsia="Times New Roman" w:hAnsi="Times New Roman" w:cs="Times New Roman"/>
          <w:sz w:val="24"/>
          <w:szCs w:val="20"/>
          <w:lang w:eastAsia="et-EE"/>
        </w:rPr>
        <w:t>võib laialt määratleda kui bioterrorismist, epideemiast (nt seedeelundite haigus, malaaria, deng</w:t>
      </w:r>
      <w:r>
        <w:rPr>
          <w:rFonts w:ascii="Times New Roman" w:eastAsia="Times New Roman" w:hAnsi="Times New Roman" w:cs="Times New Roman"/>
          <w:sz w:val="24"/>
          <w:szCs w:val="20"/>
          <w:lang w:eastAsia="et-EE"/>
        </w:rPr>
        <w:t>e</w:t>
      </w:r>
      <w:r w:rsidRPr="00B11F0B">
        <w:rPr>
          <w:rFonts w:ascii="Times New Roman" w:eastAsia="Times New Roman" w:hAnsi="Times New Roman" w:cs="Times New Roman"/>
          <w:sz w:val="24"/>
          <w:szCs w:val="20"/>
          <w:lang w:eastAsia="et-EE"/>
        </w:rPr>
        <w:t>, Zika</w:t>
      </w:r>
      <w:r>
        <w:rPr>
          <w:rFonts w:ascii="Times New Roman" w:eastAsia="Times New Roman" w:hAnsi="Times New Roman" w:cs="Times New Roman"/>
          <w:sz w:val="24"/>
          <w:szCs w:val="20"/>
          <w:lang w:eastAsia="et-EE"/>
        </w:rPr>
        <w:t>)</w:t>
      </w:r>
      <w:r w:rsidRPr="00B11F0B">
        <w:rPr>
          <w:rFonts w:ascii="Times New Roman" w:eastAsia="Times New Roman" w:hAnsi="Times New Roman" w:cs="Times New Roman"/>
          <w:sz w:val="24"/>
          <w:szCs w:val="20"/>
          <w:lang w:eastAsia="et-EE"/>
        </w:rPr>
        <w:t xml:space="preserve"> või pandeemilisest haigusest (nt lin</w:t>
      </w:r>
      <w:r>
        <w:rPr>
          <w:rFonts w:ascii="Times New Roman" w:eastAsia="Times New Roman" w:hAnsi="Times New Roman" w:cs="Times New Roman"/>
          <w:sz w:val="24"/>
          <w:szCs w:val="20"/>
          <w:lang w:eastAsia="et-EE"/>
        </w:rPr>
        <w:t>nu</w:t>
      </w:r>
      <w:r w:rsidRPr="00B11F0B">
        <w:rPr>
          <w:rFonts w:ascii="Times New Roman" w:eastAsia="Times New Roman" w:hAnsi="Times New Roman" w:cs="Times New Roman"/>
          <w:sz w:val="24"/>
          <w:szCs w:val="20"/>
          <w:lang w:eastAsia="et-EE"/>
        </w:rPr>
        <w:t>gripp, COVID-19) põhjustatud haiguse või terviseprobleemi ilmnemist või selle ilmnemise vahetut ohtu või uudset ja väga eluohtlikku nakkustekitajat või bioloogilist toksiini, mis ähvardab tõsiselt põhjustada arvukaid surmajuhtumeid või alalist või pikaajalist puuet</w:t>
      </w:r>
      <w:r>
        <w:rPr>
          <w:rFonts w:ascii="Times New Roman" w:eastAsia="Times New Roman" w:hAnsi="Times New Roman" w:cs="Times New Roman"/>
          <w:sz w:val="24"/>
          <w:szCs w:val="20"/>
          <w:lang w:eastAsia="et-EE"/>
        </w:rPr>
        <w:t xml:space="preserve">. Eesti õigusruumis vastaks </w:t>
      </w:r>
      <w:r w:rsidRPr="00086B78">
        <w:rPr>
          <w:rFonts w:ascii="Times New Roman" w:eastAsia="Times New Roman" w:hAnsi="Times New Roman" w:cs="Times New Roman"/>
          <w:sz w:val="24"/>
          <w:szCs w:val="20"/>
          <w:lang w:eastAsia="et-EE"/>
        </w:rPr>
        <w:t>„rahvatervise hädaolukord“</w:t>
      </w:r>
      <w:r>
        <w:rPr>
          <w:rFonts w:ascii="Times New Roman" w:eastAsia="Times New Roman" w:hAnsi="Times New Roman" w:cs="Times New Roman"/>
          <w:sz w:val="24"/>
          <w:szCs w:val="20"/>
          <w:lang w:eastAsia="et-EE"/>
        </w:rPr>
        <w:t xml:space="preserve"> eriolukorra seaduse</w:t>
      </w:r>
      <w:r>
        <w:rPr>
          <w:rStyle w:val="Allmrkuseviide"/>
          <w:rFonts w:ascii="Times New Roman" w:eastAsia="Times New Roman" w:hAnsi="Times New Roman" w:cs="Times New Roman"/>
          <w:sz w:val="24"/>
          <w:szCs w:val="20"/>
          <w:lang w:eastAsia="et-EE"/>
        </w:rPr>
        <w:footnoteReference w:id="50"/>
      </w:r>
      <w:r>
        <w:rPr>
          <w:rFonts w:ascii="Times New Roman" w:eastAsia="Times New Roman" w:hAnsi="Times New Roman" w:cs="Times New Roman"/>
          <w:sz w:val="24"/>
          <w:szCs w:val="20"/>
          <w:lang w:eastAsia="et-EE"/>
        </w:rPr>
        <w:t xml:space="preserve"> § 5 nakkushaiguste leviku sätetele.</w:t>
      </w:r>
    </w:p>
    <w:p w14:paraId="47A370C0" w14:textId="77777777" w:rsidR="00B731C3" w:rsidRPr="00720DA4" w:rsidRDefault="00B731C3" w:rsidP="00B731C3">
      <w:pPr>
        <w:spacing w:after="0" w:line="240" w:lineRule="auto"/>
        <w:jc w:val="both"/>
        <w:rPr>
          <w:rFonts w:ascii="Times New Roman" w:eastAsia="Times New Roman" w:hAnsi="Times New Roman" w:cs="Times New Roman"/>
          <w:sz w:val="24"/>
          <w:szCs w:val="20"/>
          <w:lang w:eastAsia="et-EE"/>
        </w:rPr>
      </w:pPr>
    </w:p>
    <w:p w14:paraId="64294EFD" w14:textId="77777777" w:rsidR="00B731C3" w:rsidRDefault="00B731C3" w:rsidP="00B731C3">
      <w:pPr>
        <w:pStyle w:val="muudetavtekst"/>
        <w:rPr>
          <w:rFonts w:asciiTheme="minorHAnsi" w:hAnsiTheme="minorHAnsi" w:cstheme="minorBidi"/>
        </w:rPr>
      </w:pPr>
      <w:r w:rsidRPr="44CDC5E3">
        <w:rPr>
          <w:rFonts w:asciiTheme="minorHAnsi" w:hAnsiTheme="minorHAnsi" w:cstheme="minorBidi"/>
          <w:b/>
        </w:rPr>
        <w:t xml:space="preserve">Punktiga </w:t>
      </w:r>
      <w:r>
        <w:rPr>
          <w:rFonts w:asciiTheme="minorHAnsi" w:hAnsiTheme="minorHAnsi" w:cstheme="minorBidi"/>
          <w:b/>
        </w:rPr>
        <w:t>33</w:t>
      </w:r>
      <w:r w:rsidRPr="44CDC5E3">
        <w:rPr>
          <w:rFonts w:asciiTheme="minorHAnsi" w:hAnsiTheme="minorHAnsi" w:cstheme="minorBidi"/>
        </w:rPr>
        <w:t xml:space="preserve"> täiendatakse EnKS</w:t>
      </w:r>
      <w:r>
        <w:rPr>
          <w:rFonts w:asciiTheme="minorHAnsi" w:hAnsiTheme="minorHAnsi" w:cstheme="minorBidi"/>
        </w:rPr>
        <w:t>i</w:t>
      </w:r>
      <w:r w:rsidRPr="44CDC5E3">
        <w:rPr>
          <w:rFonts w:asciiTheme="minorHAnsi" w:hAnsiTheme="minorHAnsi" w:cstheme="minorBidi"/>
        </w:rPr>
        <w:t xml:space="preserve"> </w:t>
      </w:r>
      <w:r w:rsidRPr="005106DA">
        <w:rPr>
          <w:rFonts w:asciiTheme="minorHAnsi" w:hAnsiTheme="minorHAnsi" w:cstheme="minorBidi"/>
        </w:rPr>
        <w:t>§</w:t>
      </w:r>
      <w:r w:rsidRPr="44CDC5E3">
        <w:rPr>
          <w:rFonts w:asciiTheme="minorHAnsi" w:hAnsiTheme="minorHAnsi" w:cstheme="minorBidi"/>
        </w:rPr>
        <w:t xml:space="preserve"> 7 lõige 1. Energiaga seotud otsuste ja investeeringute ettevalmistamisel ja heakskiitmisel tuleb algusest peale ette näha nõuetekohaselt määratud ulatusega järelhindamine, milles </w:t>
      </w:r>
      <w:r>
        <w:rPr>
          <w:rFonts w:asciiTheme="minorHAnsi" w:hAnsiTheme="minorHAnsi" w:cstheme="minorBidi"/>
        </w:rPr>
        <w:t>hinnatakse</w:t>
      </w:r>
      <w:r w:rsidRPr="44CDC5E3">
        <w:rPr>
          <w:rFonts w:asciiTheme="minorHAnsi" w:hAnsiTheme="minorHAnsi" w:cstheme="minorBidi"/>
        </w:rPr>
        <w:t xml:space="preserve"> mõju energiatarbimisele, laiemat kasu ja neid mõjutavaid tegureid. Näiteks on oluline kontrollida, kas osa kõnealusest taristust võiks asendada või vähemalt investeeringuid edasi lükata tarbimise juhtimise meetmete abil. Arukate võrkude kasutuselevõtt on oluline energiatõhususe parandamise vahend, kuna see suurendab märkimisväärselt tarbijate võimalusi tegutseda tarbimise ja arvetel esitatava teabe põhjal. </w:t>
      </w:r>
      <w:r>
        <w:rPr>
          <w:rFonts w:asciiTheme="minorHAnsi" w:hAnsiTheme="minorHAnsi" w:cstheme="minorBidi"/>
        </w:rPr>
        <w:t>Selline l</w:t>
      </w:r>
      <w:r w:rsidRPr="700FB4CD">
        <w:rPr>
          <w:rFonts w:asciiTheme="minorHAnsi" w:hAnsiTheme="minorHAnsi" w:cstheme="minorBidi"/>
        </w:rPr>
        <w:t>ähenemine</w:t>
      </w:r>
      <w:r>
        <w:rPr>
          <w:rFonts w:asciiTheme="minorHAnsi" w:hAnsiTheme="minorHAnsi" w:cstheme="minorBidi"/>
        </w:rPr>
        <w:t xml:space="preserve"> </w:t>
      </w:r>
      <w:r w:rsidRPr="44CDC5E3">
        <w:rPr>
          <w:rFonts w:asciiTheme="minorHAnsi" w:hAnsiTheme="minorHAnsi" w:cstheme="minorBidi"/>
        </w:rPr>
        <w:t xml:space="preserve">võimaldab vähendada või nihutada tarbimist, mille tulemuseks on energiasääst lõpptarbimises </w:t>
      </w:r>
      <w:r w:rsidRPr="51248E01">
        <w:rPr>
          <w:rFonts w:asciiTheme="minorHAnsi" w:hAnsiTheme="minorHAnsi" w:cstheme="minorBidi"/>
        </w:rPr>
        <w:t>ja</w:t>
      </w:r>
      <w:r w:rsidRPr="44CDC5E3">
        <w:rPr>
          <w:rFonts w:asciiTheme="minorHAnsi" w:hAnsiTheme="minorHAnsi" w:cstheme="minorBidi"/>
        </w:rPr>
        <w:t xml:space="preserve"> tänu võrgutaristu ja tootmisvõimsuste optimaalsemale kasutamisele ka </w:t>
      </w:r>
      <w:r w:rsidRPr="51248E01">
        <w:rPr>
          <w:rFonts w:asciiTheme="minorHAnsi" w:hAnsiTheme="minorHAnsi" w:cstheme="minorBidi"/>
        </w:rPr>
        <w:t xml:space="preserve">sääst </w:t>
      </w:r>
      <w:r w:rsidRPr="44CDC5E3">
        <w:rPr>
          <w:rFonts w:asciiTheme="minorHAnsi" w:hAnsiTheme="minorHAnsi" w:cstheme="minorBidi"/>
        </w:rPr>
        <w:t>energia tootmises, ülekandmisel ja jaotamisel.</w:t>
      </w:r>
    </w:p>
    <w:p w14:paraId="1FC82690" w14:textId="77777777" w:rsidR="00B731C3" w:rsidRDefault="00B731C3" w:rsidP="00B731C3">
      <w:pPr>
        <w:pStyle w:val="muudetavtekst"/>
        <w:rPr>
          <w:rFonts w:asciiTheme="minorHAnsi" w:hAnsiTheme="minorHAnsi" w:cstheme="minorHAnsi"/>
        </w:rPr>
      </w:pPr>
    </w:p>
    <w:p w14:paraId="5C7C364E" w14:textId="77777777" w:rsidR="00B731C3" w:rsidRDefault="00B731C3" w:rsidP="00B731C3">
      <w:pPr>
        <w:pStyle w:val="muudetavtekst"/>
        <w:rPr>
          <w:rFonts w:asciiTheme="minorHAnsi" w:hAnsiTheme="minorHAnsi" w:cstheme="minorHAnsi"/>
        </w:rPr>
      </w:pPr>
      <w:r w:rsidRPr="00B81F0B">
        <w:rPr>
          <w:rFonts w:asciiTheme="minorHAnsi" w:hAnsiTheme="minorHAnsi" w:cstheme="minorHAnsi"/>
          <w:b/>
          <w:bCs/>
        </w:rPr>
        <w:t xml:space="preserve">Punktiga </w:t>
      </w:r>
      <w:r>
        <w:rPr>
          <w:rFonts w:asciiTheme="minorHAnsi" w:hAnsiTheme="minorHAnsi" w:cstheme="minorHAnsi"/>
          <w:b/>
          <w:bCs/>
        </w:rPr>
        <w:t>34</w:t>
      </w:r>
      <w:r>
        <w:rPr>
          <w:rFonts w:asciiTheme="minorHAnsi" w:hAnsiTheme="minorHAnsi" w:cstheme="minorHAnsi"/>
        </w:rPr>
        <w:t xml:space="preserve"> muudetakse EnKSi § 7 lõiget 3 ja täpsustatakse Konkurentsiameti otsuste tegemise põhimõtteid (tuleb lähtuda energiatõhususe esikohale seadmise põhimõttest ning selle rakendamist kirjeldavatest juhenditest ning soovitustest).</w:t>
      </w:r>
    </w:p>
    <w:p w14:paraId="243C3FEE" w14:textId="77777777" w:rsidR="00B731C3" w:rsidRDefault="00B731C3" w:rsidP="00B731C3">
      <w:pPr>
        <w:pStyle w:val="muudetavtekst"/>
        <w:rPr>
          <w:rFonts w:asciiTheme="minorHAnsi" w:hAnsiTheme="minorHAnsi" w:cstheme="minorBidi"/>
        </w:rPr>
      </w:pPr>
    </w:p>
    <w:p w14:paraId="366D4F06" w14:textId="77777777" w:rsidR="00B731C3" w:rsidRDefault="00B731C3" w:rsidP="00B731C3">
      <w:pPr>
        <w:pStyle w:val="muudetavtekst"/>
        <w:rPr>
          <w:rFonts w:asciiTheme="minorHAnsi" w:hAnsiTheme="minorHAnsi" w:cstheme="minorBidi"/>
        </w:rPr>
      </w:pPr>
      <w:r w:rsidRPr="000216D3">
        <w:rPr>
          <w:rFonts w:asciiTheme="minorHAnsi" w:hAnsiTheme="minorHAnsi" w:cstheme="minorBidi"/>
          <w:b/>
          <w:bCs/>
        </w:rPr>
        <w:t>Punktiga 3</w:t>
      </w:r>
      <w:r>
        <w:rPr>
          <w:rFonts w:asciiTheme="minorHAnsi" w:hAnsiTheme="minorHAnsi" w:cstheme="minorBidi"/>
          <w:b/>
          <w:bCs/>
        </w:rPr>
        <w:t>5</w:t>
      </w:r>
      <w:r>
        <w:rPr>
          <w:rFonts w:asciiTheme="minorHAnsi" w:hAnsiTheme="minorHAnsi" w:cstheme="minorBidi"/>
        </w:rPr>
        <w:t xml:space="preserve"> lisatakse EnKSi </w:t>
      </w:r>
      <w:r w:rsidRPr="005106DA">
        <w:rPr>
          <w:rFonts w:asciiTheme="minorHAnsi" w:hAnsiTheme="minorHAnsi" w:cstheme="minorBidi"/>
        </w:rPr>
        <w:t>§</w:t>
      </w:r>
      <w:r>
        <w:rPr>
          <w:rFonts w:asciiTheme="minorHAnsi" w:hAnsiTheme="minorHAnsi" w:cstheme="minorBidi"/>
        </w:rPr>
        <w:t xml:space="preserve"> 8 lõiked 6-9. </w:t>
      </w:r>
    </w:p>
    <w:p w14:paraId="1A7D708C" w14:textId="77777777" w:rsidR="00B731C3" w:rsidRDefault="00B731C3" w:rsidP="00B731C3">
      <w:pPr>
        <w:pStyle w:val="muudetavtekst"/>
        <w:rPr>
          <w:rFonts w:asciiTheme="minorHAnsi" w:hAnsiTheme="minorHAnsi" w:cstheme="minorBidi"/>
        </w:rPr>
      </w:pPr>
      <w:r>
        <w:rPr>
          <w:rFonts w:asciiTheme="minorHAnsi" w:hAnsiTheme="minorHAnsi" w:cstheme="minorBidi"/>
        </w:rPr>
        <w:t xml:space="preserve">Lõikega 6 võetakse üle direktiivi artikkel 26 lõige 7. Muudatuse eesmärk on laiendada rajatiste hulka, mille koostatakse energiatõhususe suurendamise majandusliku teostatavuse kulude-tulude analüüs. Varem oli taolise analüüsi koostamine kohustuslik, kui </w:t>
      </w:r>
      <w:r w:rsidRPr="00E316FA">
        <w:rPr>
          <w:rFonts w:asciiTheme="minorHAnsi" w:hAnsiTheme="minorHAnsi" w:cstheme="minorBidi"/>
        </w:rPr>
        <w:t>kavandat</w:t>
      </w:r>
      <w:r>
        <w:rPr>
          <w:rFonts w:asciiTheme="minorHAnsi" w:hAnsiTheme="minorHAnsi" w:cstheme="minorBidi"/>
        </w:rPr>
        <w:t>i</w:t>
      </w:r>
      <w:r w:rsidRPr="00E316FA">
        <w:rPr>
          <w:rFonts w:asciiTheme="minorHAnsi" w:hAnsiTheme="minorHAnsi" w:cstheme="minorBidi"/>
        </w:rPr>
        <w:t xml:space="preserve"> uut soojuselektrijaama, mille summaarne nimisoojusvõimsus ületa</w:t>
      </w:r>
      <w:r>
        <w:rPr>
          <w:rFonts w:asciiTheme="minorHAnsi" w:hAnsiTheme="minorHAnsi" w:cstheme="minorBidi"/>
        </w:rPr>
        <w:t>s</w:t>
      </w:r>
      <w:r w:rsidRPr="00E316FA">
        <w:rPr>
          <w:rFonts w:asciiTheme="minorHAnsi" w:hAnsiTheme="minorHAnsi" w:cstheme="minorBidi"/>
        </w:rPr>
        <w:t xml:space="preserve"> 20 MW</w:t>
      </w:r>
      <w:r>
        <w:rPr>
          <w:rFonts w:asciiTheme="minorHAnsi" w:hAnsiTheme="minorHAnsi" w:cstheme="minorBidi"/>
        </w:rPr>
        <w:t>.</w:t>
      </w:r>
    </w:p>
    <w:p w14:paraId="59537CC1" w14:textId="77777777" w:rsidR="00B731C3" w:rsidRDefault="00B731C3" w:rsidP="00B731C3">
      <w:pPr>
        <w:pStyle w:val="muudetavtekst"/>
        <w:rPr>
          <w:rFonts w:asciiTheme="minorHAnsi" w:hAnsiTheme="minorHAnsi" w:cstheme="minorBidi"/>
        </w:rPr>
      </w:pPr>
      <w:r>
        <w:rPr>
          <w:rFonts w:asciiTheme="minorHAnsi" w:hAnsiTheme="minorHAnsi" w:cstheme="minorBidi"/>
        </w:rPr>
        <w:t>Lõikesse 6 lisatakse punktid 1-4. Muudatuse järel koostaksid sellise analüüsi:</w:t>
      </w:r>
    </w:p>
    <w:p w14:paraId="72E5E668" w14:textId="77777777" w:rsidR="00B731C3" w:rsidRPr="006673E1" w:rsidRDefault="00B731C3" w:rsidP="00B731C3">
      <w:pPr>
        <w:spacing w:after="0" w:line="240" w:lineRule="auto"/>
        <w:jc w:val="both"/>
        <w:rPr>
          <w:rFonts w:eastAsia="Times New Roman"/>
          <w:sz w:val="24"/>
          <w:szCs w:val="24"/>
          <w:lang w:eastAsia="et-EE"/>
        </w:rPr>
      </w:pPr>
      <w:r w:rsidRPr="006673E1">
        <w:rPr>
          <w:rFonts w:eastAsia="Times New Roman"/>
          <w:sz w:val="24"/>
          <w:szCs w:val="24"/>
          <w:lang w:eastAsia="et-EE"/>
        </w:rPr>
        <w:t>Punkt 1 - soojuselektrijaamad, mille keskmine aastane summaarne sisendenergia ületab 10 MW, et hinnata käitise kui tõhusa koostootmisjaama toimimise kulusid ja tulusid;</w:t>
      </w:r>
    </w:p>
    <w:p w14:paraId="78C50C01" w14:textId="77777777" w:rsidR="00B731C3" w:rsidRDefault="00B731C3" w:rsidP="00B731C3">
      <w:pPr>
        <w:pStyle w:val="muudetavtekst"/>
        <w:rPr>
          <w:rFonts w:asciiTheme="minorHAnsi" w:hAnsiTheme="minorHAnsi" w:cstheme="minorBidi"/>
        </w:rPr>
      </w:pPr>
      <w:r>
        <w:rPr>
          <w:rFonts w:asciiTheme="minorHAnsi" w:hAnsiTheme="minorHAnsi" w:cstheme="minorBidi"/>
        </w:rPr>
        <w:t>Punkt 2 -  t</w:t>
      </w:r>
      <w:r w:rsidRPr="00B2228F">
        <w:rPr>
          <w:rFonts w:asciiTheme="minorHAnsi" w:hAnsiTheme="minorHAnsi" w:cstheme="minorBidi"/>
        </w:rPr>
        <w:t>ööstuskäitis</w:t>
      </w:r>
      <w:r>
        <w:rPr>
          <w:rFonts w:asciiTheme="minorHAnsi" w:hAnsiTheme="minorHAnsi" w:cstheme="minorBidi"/>
        </w:rPr>
        <w:t>ed</w:t>
      </w:r>
      <w:r w:rsidRPr="00B2228F">
        <w:rPr>
          <w:rFonts w:asciiTheme="minorHAnsi" w:hAnsiTheme="minorHAnsi" w:cstheme="minorBidi"/>
        </w:rPr>
        <w:t>, mille keskmine aastane kogusisendenergia on üle 8 MW</w:t>
      </w:r>
      <w:r w:rsidRPr="00162E1A">
        <w:rPr>
          <w:rFonts w:asciiTheme="minorHAnsi" w:hAnsiTheme="minorHAnsi" w:cstheme="minorBidi"/>
        </w:rPr>
        <w:t>, et hinnata käitises ja väljaspool seda tekkiva heitsoojuse kasutamist;</w:t>
      </w:r>
    </w:p>
    <w:p w14:paraId="3A6A75AE" w14:textId="77777777" w:rsidR="00B731C3" w:rsidRDefault="00B731C3" w:rsidP="00B731C3">
      <w:pPr>
        <w:pStyle w:val="muudetavtekst"/>
        <w:rPr>
          <w:rFonts w:asciiTheme="minorHAnsi" w:hAnsiTheme="minorHAnsi" w:cstheme="minorBidi"/>
        </w:rPr>
      </w:pPr>
      <w:r>
        <w:rPr>
          <w:rFonts w:asciiTheme="minorHAnsi" w:hAnsiTheme="minorHAnsi" w:cstheme="minorBidi"/>
        </w:rPr>
        <w:t>Punkt 3 - t</w:t>
      </w:r>
      <w:r w:rsidRPr="007E5ABC">
        <w:rPr>
          <w:rFonts w:asciiTheme="minorHAnsi" w:hAnsiTheme="minorHAnsi" w:cstheme="minorBidi"/>
        </w:rPr>
        <w:t>eenindusrajatis</w:t>
      </w:r>
      <w:r>
        <w:rPr>
          <w:rFonts w:asciiTheme="minorHAnsi" w:hAnsiTheme="minorHAnsi" w:cstheme="minorBidi"/>
        </w:rPr>
        <w:t>ed</w:t>
      </w:r>
      <w:r w:rsidRPr="007E5ABC">
        <w:rPr>
          <w:rFonts w:asciiTheme="minorHAnsi" w:hAnsiTheme="minorHAnsi" w:cstheme="minorBidi"/>
        </w:rPr>
        <w:t>, mille keskmine aastane kogusisendenergia on üle 7 MW, näiteks reoveepuhastusjaamad ja maagaasi veeldusjaamad</w:t>
      </w:r>
      <w:r>
        <w:rPr>
          <w:rFonts w:asciiTheme="minorHAnsi" w:hAnsiTheme="minorHAnsi" w:cstheme="minorBidi"/>
        </w:rPr>
        <w:t>;</w:t>
      </w:r>
      <w:r>
        <w:t xml:space="preserve"> </w:t>
      </w:r>
      <w:r w:rsidRPr="0056100D">
        <w:rPr>
          <w:rFonts w:asciiTheme="minorHAnsi" w:hAnsiTheme="minorHAnsi" w:cstheme="minorBidi"/>
        </w:rPr>
        <w:t>et hinnata käitises ja väljaspool seda tekkiva heitsoojuse kasutamist</w:t>
      </w:r>
      <w:r>
        <w:rPr>
          <w:rFonts w:asciiTheme="minorHAnsi" w:hAnsiTheme="minorHAnsi" w:cstheme="minorBidi"/>
        </w:rPr>
        <w:t>;</w:t>
      </w:r>
    </w:p>
    <w:p w14:paraId="21315CAB" w14:textId="77777777" w:rsidR="00B731C3" w:rsidRDefault="00B731C3" w:rsidP="00B731C3">
      <w:pPr>
        <w:pStyle w:val="muudetavtekst"/>
        <w:rPr>
          <w:rFonts w:asciiTheme="minorHAnsi" w:hAnsiTheme="minorHAnsi" w:cstheme="minorBidi"/>
        </w:rPr>
      </w:pPr>
      <w:r>
        <w:rPr>
          <w:rFonts w:asciiTheme="minorHAnsi" w:hAnsiTheme="minorHAnsi" w:cstheme="minorBidi"/>
        </w:rPr>
        <w:t>Punkt 4 - a</w:t>
      </w:r>
      <w:r w:rsidRPr="008609DF">
        <w:rPr>
          <w:rFonts w:asciiTheme="minorHAnsi" w:hAnsiTheme="minorHAnsi" w:cstheme="minorBidi"/>
        </w:rPr>
        <w:t>ndmekeskused, mille summaarne nimisisendenergia ületab 1 MW taset, et hinnata kulude-tulude analüüsi, sealhulgas</w:t>
      </w:r>
      <w:r>
        <w:rPr>
          <w:rFonts w:asciiTheme="minorHAnsi" w:hAnsiTheme="minorHAnsi" w:cstheme="minorBidi"/>
        </w:rPr>
        <w:t>,</w:t>
      </w:r>
      <w:r w:rsidRPr="008609DF">
        <w:rPr>
          <w:rFonts w:asciiTheme="minorHAnsi" w:hAnsiTheme="minorHAnsi" w:cstheme="minorBidi"/>
        </w:rPr>
        <w:t xml:space="preserve"> kuid mitte ainult, tehnilist teostatavust, kulutõhusust, mõju energiatõhususele ja kohalikule küttenõudlusele, sealhulgas hooajalisi kõikumisi heitsoojuse kasutamise</w:t>
      </w:r>
      <w:r>
        <w:rPr>
          <w:rFonts w:asciiTheme="minorHAnsi" w:hAnsiTheme="minorHAnsi" w:cstheme="minorBidi"/>
        </w:rPr>
        <w:t>st</w:t>
      </w:r>
      <w:r w:rsidRPr="008609DF">
        <w:rPr>
          <w:rFonts w:asciiTheme="minorHAnsi" w:hAnsiTheme="minorHAnsi" w:cstheme="minorBidi"/>
        </w:rPr>
        <w:t xml:space="preserve"> majanduslikult põhjendatud nõudluse rahuldamiseks ning kõnealuse käitise ühendamisega kaugküttevõrku või tõhusasse/</w:t>
      </w:r>
      <w:r>
        <w:rPr>
          <w:rFonts w:asciiTheme="minorHAnsi" w:hAnsiTheme="minorHAnsi" w:cstheme="minorBidi"/>
        </w:rPr>
        <w:t xml:space="preserve">taastuvenergia lahendusel põhinevasse </w:t>
      </w:r>
      <w:r w:rsidRPr="008609DF">
        <w:rPr>
          <w:rFonts w:asciiTheme="minorHAnsi" w:hAnsiTheme="minorHAnsi" w:cstheme="minorBidi"/>
        </w:rPr>
        <w:t xml:space="preserve"> kaugjahutussüsteemi või muudesse heitsoojuse taaskasutamise rakendustesse.</w:t>
      </w:r>
      <w:r>
        <w:rPr>
          <w:rFonts w:asciiTheme="minorHAnsi" w:hAnsiTheme="minorHAnsi" w:cstheme="minorBidi"/>
        </w:rPr>
        <w:t xml:space="preserve"> </w:t>
      </w:r>
    </w:p>
    <w:p w14:paraId="7DBCD865" w14:textId="77777777" w:rsidR="00B731C3" w:rsidRDefault="00B731C3" w:rsidP="00B731C3">
      <w:pPr>
        <w:pStyle w:val="muudetavtekst"/>
        <w:rPr>
          <w:rFonts w:asciiTheme="minorHAnsi" w:hAnsiTheme="minorHAnsi" w:cstheme="minorBidi"/>
        </w:rPr>
      </w:pPr>
    </w:p>
    <w:p w14:paraId="50C69772" w14:textId="77777777" w:rsidR="00B731C3" w:rsidRDefault="00B731C3" w:rsidP="00B731C3">
      <w:pPr>
        <w:pStyle w:val="muudetavtekst"/>
        <w:rPr>
          <w:rFonts w:asciiTheme="minorHAnsi" w:hAnsiTheme="minorHAnsi" w:cstheme="minorBidi"/>
        </w:rPr>
      </w:pPr>
      <w:r>
        <w:rPr>
          <w:rFonts w:asciiTheme="minorHAnsi" w:hAnsiTheme="minorHAnsi" w:cstheme="minorBidi"/>
        </w:rPr>
        <w:lastRenderedPageBreak/>
        <w:t>Rajatiste hulga laiendamine on vajalik, sest üksiku tööstuskäitise või andmekeskuse heitsoojuse kogus megavatt-tundides võib ületada keskmise Eesti linna kaugküttevõrgu aastast soojustarbimist. Analüüsiga saadakse teada, kas näiteks andmekeskuse ühendamine kaugküttevõrguga on majanduslikult teostatav või mitte.</w:t>
      </w:r>
    </w:p>
    <w:p w14:paraId="6DACDAE2" w14:textId="77777777" w:rsidR="00B731C3" w:rsidRPr="006077E8" w:rsidRDefault="00B731C3" w:rsidP="00B731C3">
      <w:pPr>
        <w:pStyle w:val="muudetavtekst"/>
        <w:rPr>
          <w:rFonts w:asciiTheme="minorHAnsi" w:hAnsiTheme="minorHAnsi" w:cstheme="minorBidi"/>
        </w:rPr>
      </w:pPr>
      <w:r>
        <w:rPr>
          <w:rFonts w:asciiTheme="minorHAnsi" w:hAnsiTheme="minorHAnsi" w:cstheme="minorBidi"/>
        </w:rPr>
        <w:t>Lõikega 7 määratakse volitusnorm k</w:t>
      </w:r>
      <w:r w:rsidRPr="00132725">
        <w:rPr>
          <w:rFonts w:asciiTheme="minorHAnsi" w:hAnsiTheme="minorHAnsi" w:cstheme="minorBidi"/>
        </w:rPr>
        <w:t>ütte- ja jahutustarne energiatõhususe suurendamise majandusliku teostatavuse hindamiseks koostatakse kulude-tulude analüüs</w:t>
      </w:r>
      <w:r>
        <w:rPr>
          <w:rFonts w:asciiTheme="minorHAnsi" w:hAnsiTheme="minorHAnsi" w:cstheme="minorBidi"/>
        </w:rPr>
        <w:t xml:space="preserve">i metoodika kehtestamiseks. </w:t>
      </w:r>
    </w:p>
    <w:p w14:paraId="1B561494" w14:textId="77777777" w:rsidR="00B731C3" w:rsidRPr="0095277F" w:rsidRDefault="00B731C3" w:rsidP="00B731C3">
      <w:pPr>
        <w:pStyle w:val="muudetavtekst"/>
        <w:rPr>
          <w:rFonts w:asciiTheme="minorHAnsi" w:hAnsiTheme="minorHAnsi" w:cstheme="minorBidi"/>
        </w:rPr>
      </w:pPr>
      <w:r w:rsidRPr="005D5976">
        <w:rPr>
          <w:rFonts w:asciiTheme="minorHAnsi" w:hAnsiTheme="minorHAnsi" w:cstheme="minorBidi"/>
        </w:rPr>
        <w:t>Lõikega 8</w:t>
      </w:r>
      <w:r>
        <w:rPr>
          <w:rFonts w:asciiTheme="minorHAnsi" w:hAnsiTheme="minorHAnsi" w:cstheme="minorBidi"/>
        </w:rPr>
        <w:t xml:space="preserve"> millega võetakse üle direktiivi artikkel 26 lõige 8 punkt a, mis on leevendav meede. Lõikega vabastatakse majandusliku kulude-tulude analüüsi koostamise kohustusest tipptunni- ja varuelektrijaamad, mis on kavandatud töötama alla 1 500 töötunni aastas viie aasta libiseva keskmisena. Töötunde kontrollib Elering AS. Tipptunni- ja varuelektrijaamade energiatõhususe suurendamine on keerulisem kui ühtlasema koormusega soojuselektrijaamade puhul. Seega pole mõistlik seda kohustust nendele rajatistele laiendada. </w:t>
      </w:r>
    </w:p>
    <w:p w14:paraId="50602AA3" w14:textId="77777777" w:rsidR="00B731C3" w:rsidRDefault="00B731C3" w:rsidP="00B731C3">
      <w:pPr>
        <w:pStyle w:val="muudetavtekst"/>
        <w:rPr>
          <w:rFonts w:asciiTheme="minorHAnsi" w:hAnsiTheme="minorHAnsi" w:cstheme="minorBidi"/>
        </w:rPr>
      </w:pPr>
    </w:p>
    <w:p w14:paraId="145083E3" w14:textId="77777777" w:rsidR="00B731C3" w:rsidRPr="00E80A87" w:rsidRDefault="00B731C3" w:rsidP="00B731C3">
      <w:pPr>
        <w:pStyle w:val="muudetavtekst"/>
        <w:rPr>
          <w:rFonts w:asciiTheme="minorHAnsi" w:hAnsiTheme="minorHAnsi" w:cstheme="minorHAnsi"/>
        </w:rPr>
      </w:pPr>
      <w:r w:rsidRPr="00E80A87">
        <w:rPr>
          <w:rFonts w:asciiTheme="minorHAnsi" w:hAnsiTheme="minorHAnsi" w:cstheme="minorHAnsi"/>
          <w:b/>
          <w:bCs/>
        </w:rPr>
        <w:t xml:space="preserve">Punktiga </w:t>
      </w:r>
      <w:r>
        <w:rPr>
          <w:rFonts w:asciiTheme="minorHAnsi" w:hAnsiTheme="minorHAnsi" w:cstheme="minorHAnsi"/>
          <w:b/>
          <w:bCs/>
        </w:rPr>
        <w:t>36</w:t>
      </w:r>
      <w:r w:rsidRPr="00E80A87">
        <w:rPr>
          <w:rFonts w:asciiTheme="minorHAnsi" w:hAnsiTheme="minorHAnsi" w:cstheme="minorHAnsi"/>
        </w:rPr>
        <w:t xml:space="preserve"> täiendatakse </w:t>
      </w:r>
      <w:r>
        <w:rPr>
          <w:rFonts w:asciiTheme="minorHAnsi" w:hAnsiTheme="minorHAnsi" w:cstheme="minorHAnsi"/>
        </w:rPr>
        <w:t xml:space="preserve">EnKSi </w:t>
      </w:r>
      <w:r w:rsidRPr="005106DA">
        <w:rPr>
          <w:rFonts w:asciiTheme="minorHAnsi" w:hAnsiTheme="minorHAnsi" w:cstheme="minorBidi"/>
        </w:rPr>
        <w:t>§</w:t>
      </w:r>
      <w:r w:rsidRPr="00E80A87">
        <w:rPr>
          <w:rFonts w:asciiTheme="minorHAnsi" w:hAnsiTheme="minorHAnsi" w:cstheme="minorHAnsi"/>
        </w:rPr>
        <w:t xml:space="preserve"> 11 lõige</w:t>
      </w:r>
      <w:r>
        <w:rPr>
          <w:rFonts w:asciiTheme="minorHAnsi" w:hAnsiTheme="minorHAnsi" w:cstheme="minorHAnsi"/>
        </w:rPr>
        <w:t>t</w:t>
      </w:r>
      <w:r w:rsidRPr="00E80A87">
        <w:rPr>
          <w:rFonts w:asciiTheme="minorHAnsi" w:hAnsiTheme="minorHAnsi" w:cstheme="minorHAnsi"/>
        </w:rPr>
        <w:t xml:space="preserve"> 1 pärast tekstiosa „töötlemise“ tekstiosaga „viisil, mis kajastab täpselt tegelikku energiatarbimist ning on konkurentsivõimeline“.</w:t>
      </w:r>
    </w:p>
    <w:p w14:paraId="6FE058AE" w14:textId="77777777" w:rsidR="00B731C3" w:rsidRPr="00E80A87" w:rsidRDefault="00B731C3" w:rsidP="00B731C3">
      <w:pPr>
        <w:pStyle w:val="muudetavtekst"/>
        <w:rPr>
          <w:rFonts w:asciiTheme="minorHAnsi" w:hAnsiTheme="minorHAnsi" w:cstheme="minorHAnsi"/>
        </w:rPr>
      </w:pPr>
    </w:p>
    <w:p w14:paraId="0CB6F46A" w14:textId="77777777" w:rsidR="00B731C3" w:rsidRPr="00E80A87" w:rsidRDefault="00B731C3" w:rsidP="00B731C3">
      <w:pPr>
        <w:pStyle w:val="muudetavtekst"/>
        <w:rPr>
          <w:rFonts w:asciiTheme="minorHAnsi" w:hAnsiTheme="minorHAnsi" w:cstheme="minorBidi"/>
        </w:rPr>
      </w:pPr>
      <w:r w:rsidRPr="51248E01">
        <w:rPr>
          <w:rFonts w:asciiTheme="minorHAnsi" w:hAnsiTheme="minorHAnsi" w:cstheme="minorBidi"/>
          <w:b/>
        </w:rPr>
        <w:t>Punktiga</w:t>
      </w:r>
      <w:r>
        <w:rPr>
          <w:rFonts w:asciiTheme="minorHAnsi" w:hAnsiTheme="minorHAnsi" w:cstheme="minorBidi"/>
          <w:b/>
        </w:rPr>
        <w:t xml:space="preserve"> 37</w:t>
      </w:r>
      <w:r w:rsidRPr="51248E01">
        <w:rPr>
          <w:rFonts w:asciiTheme="minorHAnsi" w:hAnsiTheme="minorHAnsi" w:cstheme="minorBidi"/>
        </w:rPr>
        <w:t xml:space="preserve"> muudetakse </w:t>
      </w:r>
      <w:r>
        <w:rPr>
          <w:rFonts w:asciiTheme="minorHAnsi" w:hAnsiTheme="minorHAnsi" w:cstheme="minorBidi"/>
        </w:rPr>
        <w:t xml:space="preserve">EnKSi </w:t>
      </w:r>
      <w:r w:rsidRPr="005106DA">
        <w:rPr>
          <w:rFonts w:asciiTheme="minorHAnsi" w:hAnsiTheme="minorHAnsi" w:cstheme="minorBidi"/>
        </w:rPr>
        <w:t>§</w:t>
      </w:r>
      <w:r w:rsidRPr="51248E01">
        <w:rPr>
          <w:rFonts w:asciiTheme="minorHAnsi" w:hAnsiTheme="minorHAnsi" w:cstheme="minorBidi"/>
        </w:rPr>
        <w:t xml:space="preserve"> 11 lõiget 3. Võrgukasutajatele pakutakse nutivõrkude jätkuva kasutuselevõtuga energiatõhususe </w:t>
      </w:r>
      <w:r>
        <w:rPr>
          <w:rFonts w:asciiTheme="minorHAnsi" w:hAnsiTheme="minorHAnsi" w:cstheme="minorBidi"/>
        </w:rPr>
        <w:t>suurendamiseks</w:t>
      </w:r>
      <w:r w:rsidRPr="51248E01">
        <w:rPr>
          <w:rFonts w:asciiTheme="minorHAnsi" w:hAnsiTheme="minorHAnsi" w:cstheme="minorBidi"/>
        </w:rPr>
        <w:t xml:space="preserve"> ja nõudluse juhtimiseks vajalikke nutiarvestitega seotud lisateenuseid. </w:t>
      </w:r>
      <w:r>
        <w:rPr>
          <w:rFonts w:asciiTheme="minorHAnsi" w:hAnsiTheme="minorHAnsi" w:cstheme="minorBidi"/>
        </w:rPr>
        <w:t>Info</w:t>
      </w:r>
      <w:r w:rsidRPr="51248E01">
        <w:rPr>
          <w:rFonts w:asciiTheme="minorHAnsi" w:hAnsiTheme="minorHAnsi" w:cstheme="minorBidi"/>
        </w:rPr>
        <w:t xml:space="preserve"> selle kohta avalda</w:t>
      </w:r>
      <w:r>
        <w:rPr>
          <w:rFonts w:asciiTheme="minorHAnsi" w:hAnsiTheme="minorHAnsi" w:cstheme="minorBidi"/>
        </w:rPr>
        <w:t>b</w:t>
      </w:r>
      <w:r w:rsidRPr="51248E01">
        <w:rPr>
          <w:rFonts w:asciiTheme="minorHAnsi" w:hAnsiTheme="minorHAnsi" w:cstheme="minorBidi"/>
        </w:rPr>
        <w:t xml:space="preserve"> </w:t>
      </w:r>
      <w:r>
        <w:rPr>
          <w:rFonts w:asciiTheme="minorHAnsi" w:hAnsiTheme="minorHAnsi" w:cstheme="minorBidi"/>
        </w:rPr>
        <w:t>ig</w:t>
      </w:r>
      <w:r w:rsidRPr="51248E01">
        <w:rPr>
          <w:rFonts w:asciiTheme="minorHAnsi" w:hAnsiTheme="minorHAnsi" w:cstheme="minorBidi"/>
        </w:rPr>
        <w:t xml:space="preserve">a võrguettevõtja </w:t>
      </w:r>
      <w:r>
        <w:rPr>
          <w:rFonts w:asciiTheme="minorHAnsi" w:hAnsiTheme="minorHAnsi" w:cstheme="minorBidi"/>
        </w:rPr>
        <w:t xml:space="preserve">oma </w:t>
      </w:r>
      <w:r w:rsidRPr="51248E01">
        <w:rPr>
          <w:rFonts w:asciiTheme="minorHAnsi" w:hAnsiTheme="minorHAnsi" w:cstheme="minorBidi"/>
        </w:rPr>
        <w:t>veebilehel. Kaugloetavad arvestid ja kulujaoturid hõlbustavad lõpptarbijate ligipääsu tarbimisandmetele ning võimaldavad eri tööriistade loomise kaudu suurendada tarbimiskohtades energiatõhusust.</w:t>
      </w:r>
      <w:r>
        <w:rPr>
          <w:rFonts w:asciiTheme="minorHAnsi" w:hAnsiTheme="minorHAnsi" w:cstheme="minorBidi"/>
        </w:rPr>
        <w:t xml:space="preserve"> Samas ei eeldata väikestelt kaugküttevõrkudelt (kui võrgus on paar maja) kaugloetavate arvestite paigaldamist ja andesüsteemi ülesehitust, kui see on kulukam kui saavutatav energiasääst. </w:t>
      </w:r>
    </w:p>
    <w:p w14:paraId="61CB3AE2" w14:textId="77777777" w:rsidR="00B731C3" w:rsidRDefault="00B731C3" w:rsidP="00B731C3">
      <w:pPr>
        <w:pStyle w:val="muudetavtekst"/>
        <w:rPr>
          <w:rFonts w:asciiTheme="minorHAnsi" w:hAnsiTheme="minorHAnsi" w:cstheme="minorHAnsi"/>
        </w:rPr>
      </w:pPr>
    </w:p>
    <w:p w14:paraId="4C9EC8AB" w14:textId="77777777" w:rsidR="00B731C3" w:rsidRDefault="00B731C3" w:rsidP="00B731C3">
      <w:pPr>
        <w:pStyle w:val="muudetavtekst"/>
        <w:rPr>
          <w:rFonts w:asciiTheme="minorHAnsi" w:hAnsiTheme="minorHAnsi" w:cstheme="minorHAnsi"/>
        </w:rPr>
      </w:pPr>
      <w:r w:rsidRPr="007A12E9">
        <w:rPr>
          <w:rFonts w:asciiTheme="minorHAnsi" w:hAnsiTheme="minorHAnsi" w:cstheme="minorHAnsi"/>
          <w:b/>
          <w:bCs/>
        </w:rPr>
        <w:t>Punktiga 38</w:t>
      </w:r>
      <w:r>
        <w:rPr>
          <w:rFonts w:asciiTheme="minorHAnsi" w:hAnsiTheme="minorHAnsi" w:cstheme="minorHAnsi"/>
        </w:rPr>
        <w:t xml:space="preserve"> lisatakse EnKS-i peatükki 5 § 13</w:t>
      </w:r>
      <w:r>
        <w:rPr>
          <w:rFonts w:asciiTheme="minorHAnsi" w:hAnsiTheme="minorHAnsi" w:cstheme="minorHAnsi"/>
          <w:vertAlign w:val="superscript"/>
        </w:rPr>
        <w:t>3</w:t>
      </w:r>
      <w:r>
        <w:rPr>
          <w:rFonts w:asciiTheme="minorHAnsi" w:hAnsiTheme="minorHAnsi" w:cstheme="minorHAnsi"/>
        </w:rPr>
        <w:t>, mis sätestab nõuded millised on lõpptarbija põhiõigused küttele, jahutusele ja soojale tarbeveele. Paragrahviga võetakse üle direktiivi artikkel 21. Sarnased nõuded on juba elektri ja gaasimüüjatele - elektrituruseaduse peatükk 8 (Lepingud) ning 28.07.2017 Majandus- ja taristuministri määruse nr. 41 „Gaasituru toimimise võrgueeskiri“</w:t>
      </w:r>
      <w:r>
        <w:rPr>
          <w:rStyle w:val="Allmrkuseviide"/>
          <w:rFonts w:asciiTheme="minorHAnsi" w:hAnsiTheme="minorHAnsi" w:cstheme="minorHAnsi"/>
        </w:rPr>
        <w:footnoteReference w:id="51"/>
      </w:r>
      <w:r>
        <w:rPr>
          <w:rFonts w:asciiTheme="minorHAnsi" w:hAnsiTheme="minorHAnsi" w:cstheme="minorHAnsi"/>
        </w:rPr>
        <w:t xml:space="preserve"> § 15 ja 18.  Kuid nõuded puudusid seni veel kütte, jahutuse ning sooja tarbevee lahenduste müüjatele. Euroopa Komisjon on selle kohta andnud välja ka omapoolsed juhised</w:t>
      </w:r>
      <w:r>
        <w:rPr>
          <w:rStyle w:val="Allmrkuseviide"/>
          <w:rFonts w:asciiTheme="minorHAnsi" w:hAnsiTheme="minorHAnsi" w:cstheme="minorHAnsi"/>
        </w:rPr>
        <w:footnoteReference w:id="52"/>
      </w:r>
      <w:r>
        <w:rPr>
          <w:rFonts w:asciiTheme="minorHAnsi" w:hAnsiTheme="minorHAnsi" w:cstheme="minorHAnsi"/>
        </w:rPr>
        <w:t xml:space="preserve">.   </w:t>
      </w:r>
    </w:p>
    <w:p w14:paraId="0285166D" w14:textId="77777777" w:rsidR="00B731C3" w:rsidRDefault="00B731C3" w:rsidP="00B731C3">
      <w:pPr>
        <w:pStyle w:val="muudetavtekst"/>
        <w:rPr>
          <w:rFonts w:asciiTheme="minorHAnsi" w:hAnsiTheme="minorHAnsi" w:cstheme="minorHAnsi"/>
        </w:rPr>
      </w:pPr>
      <w:r>
        <w:rPr>
          <w:rFonts w:asciiTheme="minorHAnsi" w:hAnsiTheme="minorHAnsi" w:cstheme="minorHAnsi"/>
        </w:rPr>
        <w:t xml:space="preserve">Lõikega 1 sätestatakse energiatarnijaga sõlmitava lepingu miinimumnõuded (direktiivi artikkel 21 lõige 2). </w:t>
      </w:r>
    </w:p>
    <w:p w14:paraId="46B9FFF5" w14:textId="77777777" w:rsidR="00B731C3" w:rsidRDefault="00B731C3" w:rsidP="00B731C3">
      <w:pPr>
        <w:pStyle w:val="muudetavtekst"/>
        <w:rPr>
          <w:rFonts w:asciiTheme="minorHAnsi" w:hAnsiTheme="minorHAnsi" w:cstheme="minorHAnsi"/>
        </w:rPr>
      </w:pPr>
      <w:r>
        <w:rPr>
          <w:rFonts w:asciiTheme="minorHAnsi" w:hAnsiTheme="minorHAnsi" w:cstheme="minorHAnsi"/>
        </w:rPr>
        <w:t>Punkt 1 – energiatarnija nimi, äriregistri- või isikukood, aadress ja kontaktandmed. S</w:t>
      </w:r>
      <w:r w:rsidRPr="00205125">
        <w:rPr>
          <w:rFonts w:asciiTheme="minorHAnsi" w:hAnsiTheme="minorHAnsi" w:cstheme="minorHAnsi"/>
        </w:rPr>
        <w:t>ätte eesmärk on, et lõpptarbijad saaksid selgelt ja kahtlusteta kindlaks teha, kes on teine lepingupool ja kuidas temaga ühendust võtta.</w:t>
      </w:r>
    </w:p>
    <w:p w14:paraId="689D21DC" w14:textId="77777777" w:rsidR="00B731C3" w:rsidRDefault="00B731C3" w:rsidP="00B731C3">
      <w:pPr>
        <w:pStyle w:val="muudetavtekst"/>
      </w:pPr>
      <w:r>
        <w:rPr>
          <w:rFonts w:asciiTheme="minorHAnsi" w:hAnsiTheme="minorHAnsi" w:cstheme="minorHAnsi"/>
        </w:rPr>
        <w:t xml:space="preserve">Punkt 2 – osutatud teenuste kirjeldus ja lepingus </w:t>
      </w:r>
      <w:r w:rsidRPr="1809FD54">
        <w:t>lsisalduva kvaliteedi põhinäitajad või viide kättesaadavale dokumendile, milles on põhinäitajad esitatud</w:t>
      </w:r>
      <w:r>
        <w:t xml:space="preserve">. Kütte- ja jahutussüsteemide ning sooja tarbeveega seotud teenuste kvaliteet hõlmab mitmesuguseid aspekte, nagu süsteemide tõhusus, usaldusväärsus ja ohutus ning nende hooldamisel ja parandamisel osutatavate teenuste kvaliteet. </w:t>
      </w:r>
    </w:p>
    <w:p w14:paraId="6F28ED2E" w14:textId="77777777" w:rsidR="00B731C3" w:rsidRDefault="00B731C3" w:rsidP="00B731C3">
      <w:pPr>
        <w:pStyle w:val="muudetavtekst"/>
      </w:pPr>
      <w:r>
        <w:t xml:space="preserve">Punkt 3  - </w:t>
      </w:r>
      <w:r w:rsidRPr="0062410D">
        <w:t>lepingus sisalduvate ja ilma lisatasudeta pakutavate hooldusteenuste liigid</w:t>
      </w:r>
      <w:r>
        <w:t xml:space="preserve">. Hooldusteenused võivad olla näiteks soojussõlme hooldus, filtrite vahetamine aga ka avariiteenus – kuid need ei pruugi kõik olla ilma lisatasudeta. Mis teenused on lepinguga kaetud, selgub lepingust. </w:t>
      </w:r>
    </w:p>
    <w:p w14:paraId="101FEC02" w14:textId="77777777" w:rsidR="00B731C3" w:rsidRDefault="00B731C3" w:rsidP="00B731C3">
      <w:pPr>
        <w:pStyle w:val="muudetavtekst"/>
      </w:pPr>
      <w:r>
        <w:lastRenderedPageBreak/>
        <w:t xml:space="preserve">Punkt 4 - </w:t>
      </w:r>
      <w:r w:rsidRPr="008843FB">
        <w:t>asjakohase teabe saamise viisid kõigi kohalduvate tasude, hooldustasude ning seotud toodete ja teenuste kohta</w:t>
      </w:r>
      <w:r>
        <w:t xml:space="preserve">. Kui lisatasudeta hooldustöid ei ole, siis need tuleb selgelt välja tuua. </w:t>
      </w:r>
    </w:p>
    <w:p w14:paraId="33ADCA97" w14:textId="77777777" w:rsidR="00B731C3" w:rsidRDefault="00B731C3" w:rsidP="00B731C3">
      <w:pPr>
        <w:pStyle w:val="muudetavtekst"/>
      </w:pPr>
      <w:r>
        <w:t xml:space="preserve">Punkt 5 - </w:t>
      </w:r>
      <w:r w:rsidRPr="1809FD54">
        <w:t>lepingu kestus, lepingu ja teenuse osutamise, sealhulgas seotud toodete ja teenuste, pikendamise ja lõpetamise tingimused ning teave selle kohta, kas lepingu tasuta lõpetamine on lubatud</w:t>
      </w:r>
      <w:r>
        <w:t xml:space="preserve">. </w:t>
      </w:r>
    </w:p>
    <w:p w14:paraId="2D41CFBC" w14:textId="77777777" w:rsidR="00B731C3" w:rsidRDefault="00B731C3" w:rsidP="00B731C3">
      <w:pPr>
        <w:pStyle w:val="muudetavtekst"/>
      </w:pPr>
      <w:r>
        <w:t xml:space="preserve">Punkt 6 - </w:t>
      </w:r>
      <w:r w:rsidRPr="00CD65EA">
        <w:t>võimalikud hüvitised ja tagasimaksmise kord juhul, kui teenuse kvaliteet ei vasta kokkulepitule, sealhulgas ebatäpne arve või arve hilinenud esitamine</w:t>
      </w:r>
      <w:r>
        <w:t xml:space="preserve">. Näiteks kui teenus on teatava aja jooksul häiritud, võiks kliendil olla õigus saada osa oma igakuisest teenustasust tagasi. </w:t>
      </w:r>
    </w:p>
    <w:p w14:paraId="50CB20B5" w14:textId="77777777" w:rsidR="00B731C3" w:rsidRDefault="00B731C3" w:rsidP="00B731C3">
      <w:pPr>
        <w:pStyle w:val="muudetavtekst"/>
      </w:pPr>
      <w:r>
        <w:t xml:space="preserve">Punkt 7 - </w:t>
      </w:r>
      <w:r w:rsidRPr="1809FD54">
        <w:t>vaidluste kohtuvälise lahendamise kord tarbijakaitseseaduse</w:t>
      </w:r>
      <w:r>
        <w:rPr>
          <w:rStyle w:val="Allmrkuseviide"/>
        </w:rPr>
        <w:footnoteReference w:id="53"/>
      </w:r>
      <w:r w:rsidRPr="1809FD54">
        <w:t xml:space="preserve"> alusel</w:t>
      </w:r>
      <w:r>
        <w:t xml:space="preserve">. Kui energiamüüja ja lõpptarbija ei jõua omavahel kokkuleppele on tarbijal õigus pöörduda tarbijavaidluste komisjoni tarbijakaitseseaduse § 40 alusel. </w:t>
      </w:r>
    </w:p>
    <w:p w14:paraId="1BB2AF8D" w14:textId="77777777" w:rsidR="00B731C3" w:rsidRPr="00D71EE9" w:rsidRDefault="00B731C3" w:rsidP="00B731C3">
      <w:pPr>
        <w:pStyle w:val="muudetavtekst"/>
      </w:pPr>
      <w:r>
        <w:t xml:space="preserve">Punkt 8 - </w:t>
      </w:r>
      <w:r w:rsidRPr="00E05F15">
        <w:t>tarbijaõigusi käsitlev teave, sealhulgas teave kaebuste käsitlemise kohta ja kõigi käesolevas lõikes osutatud teave, mis edastatakse arvel või ettevõtja veebilehel ja mis sisaldab käesoleva seaduse § 30 lõikes 1 nimetatud energiasäästu koordinaatori linki tema veebilehele</w:t>
      </w:r>
      <w:r>
        <w:t xml:space="preserve">, Kliimaministeeriumil on kaks veebilehte, kus on nii energiasäästu meetmeid kui ka üldharivat infot - </w:t>
      </w:r>
      <w:hyperlink r:id="rId26" w:history="1">
        <w:r w:rsidRPr="00D71EE9">
          <w:rPr>
            <w:rFonts w:asciiTheme="minorHAnsi" w:eastAsiaTheme="minorHAnsi" w:hAnsiTheme="minorHAnsi" w:cstheme="minorBidi"/>
            <w:color w:val="0000FF"/>
            <w:sz w:val="22"/>
            <w:szCs w:val="22"/>
            <w:u w:val="single"/>
            <w:lang w:eastAsia="en-US"/>
          </w:rPr>
          <w:t>Koos saame energiakriisiga hakkama! | Majandus- ja Kommunikatsiooniministeerium</w:t>
        </w:r>
      </w:hyperlink>
      <w:r>
        <w:rPr>
          <w:rFonts w:asciiTheme="minorHAnsi" w:eastAsiaTheme="minorHAnsi" w:hAnsiTheme="minorHAnsi" w:cstheme="minorBidi"/>
          <w:sz w:val="22"/>
          <w:szCs w:val="22"/>
          <w:lang w:eastAsia="en-US"/>
        </w:rPr>
        <w:t xml:space="preserve"> ja </w:t>
      </w:r>
      <w:hyperlink r:id="rId27" w:history="1">
        <w:r w:rsidRPr="00A11D58">
          <w:rPr>
            <w:rFonts w:asciiTheme="minorHAnsi" w:eastAsiaTheme="minorHAnsi" w:hAnsiTheme="minorHAnsi" w:cstheme="minorBidi"/>
            <w:color w:val="0000FF"/>
            <w:sz w:val="22"/>
            <w:szCs w:val="22"/>
            <w:u w:val="single"/>
            <w:lang w:eastAsia="en-US"/>
          </w:rPr>
          <w:t>Avaleht | Energiatalgud</w:t>
        </w:r>
      </w:hyperlink>
    </w:p>
    <w:p w14:paraId="31056800" w14:textId="77777777" w:rsidR="00B731C3" w:rsidRDefault="00B731C3" w:rsidP="00B731C3">
      <w:pPr>
        <w:pStyle w:val="muudetavtekst"/>
        <w:rPr>
          <w:rFonts w:asciiTheme="minorHAnsi" w:hAnsiTheme="minorHAnsi" w:cstheme="minorHAnsi"/>
        </w:rPr>
      </w:pPr>
      <w:r>
        <w:rPr>
          <w:rFonts w:asciiTheme="minorHAnsi" w:hAnsiTheme="minorHAnsi" w:cstheme="minorHAnsi"/>
        </w:rPr>
        <w:t xml:space="preserve">Punkt 9 - </w:t>
      </w:r>
      <w:r w:rsidRPr="00166A31">
        <w:rPr>
          <w:rFonts w:asciiTheme="minorHAnsi" w:hAnsiTheme="minorHAnsi" w:cstheme="minorHAnsi"/>
        </w:rPr>
        <w:t>kontaktandmeid, mis võimaldavad tarbijal teha kindlaks asjakohased ühtsed kontaktpunktid, mis on nimetatud käesoleva seaduse § 30 lõikes 3.</w:t>
      </w:r>
      <w:r>
        <w:rPr>
          <w:rFonts w:asciiTheme="minorHAnsi" w:hAnsiTheme="minorHAnsi" w:cstheme="minorHAnsi"/>
        </w:rPr>
        <w:t xml:space="preserve"> Eelpool viidatud veebilehed. </w:t>
      </w:r>
    </w:p>
    <w:p w14:paraId="37738F2F" w14:textId="77777777" w:rsidR="00B731C3" w:rsidRDefault="00B731C3" w:rsidP="00B731C3">
      <w:pPr>
        <w:pStyle w:val="muudetavtekst"/>
        <w:rPr>
          <w:rFonts w:asciiTheme="minorHAnsi" w:hAnsiTheme="minorHAnsi" w:cstheme="minorHAnsi"/>
        </w:rPr>
      </w:pPr>
      <w:r>
        <w:rPr>
          <w:rFonts w:asciiTheme="minorHAnsi" w:hAnsiTheme="minorHAnsi" w:cstheme="minorHAnsi"/>
        </w:rPr>
        <w:t xml:space="preserve">Lõige 2 – Sätestab nõude et eelpool lõikes 1 sätestatud teave tuleb esitada enne lepingu sõlmimist, kas siis otse energiamüüjaga või läbi vahendaja. Võetakse üle direktiivi artikkel 21 lõik 2 teine lõik. </w:t>
      </w:r>
    </w:p>
    <w:p w14:paraId="6748C6FA" w14:textId="77777777" w:rsidR="00B731C3" w:rsidRDefault="00B731C3" w:rsidP="00B731C3">
      <w:pPr>
        <w:pStyle w:val="muudetavtekst"/>
      </w:pPr>
      <w:r>
        <w:rPr>
          <w:rFonts w:asciiTheme="minorHAnsi" w:hAnsiTheme="minorHAnsi" w:cstheme="minorHAnsi"/>
        </w:rPr>
        <w:t>Lõige 3 sätestab, et l</w:t>
      </w:r>
      <w:r w:rsidRPr="00892358">
        <w:t>epingutingimuste, sealhulgas hindade ja tasude kokkuvõte, esitatakse lõpptarbijale ja lõppkasutajale arusaadaval viisil täpses ja selges sõnastuses</w:t>
      </w:r>
      <w:r>
        <w:t xml:space="preserve">. Võetakse üle direktiivi artikkel 21 lõike 2 kolmas lõik. </w:t>
      </w:r>
    </w:p>
    <w:p w14:paraId="6E065AE8" w14:textId="77777777" w:rsidR="00B731C3" w:rsidRDefault="00B731C3" w:rsidP="00B731C3">
      <w:pPr>
        <w:pStyle w:val="muudetavtekst"/>
      </w:pPr>
      <w:r>
        <w:t xml:space="preserve">Lõige 4 sätestab et lepingu koopia jääb ka lõpptarbijale. Võetakse üle direktiivi artikkel 21 lõik 2 neljas lõik. </w:t>
      </w:r>
    </w:p>
    <w:p w14:paraId="04DA5A51" w14:textId="77777777" w:rsidR="00B731C3" w:rsidRDefault="00B731C3" w:rsidP="00B731C3">
      <w:pPr>
        <w:pStyle w:val="muudetavtekst"/>
      </w:pPr>
      <w:r>
        <w:t xml:space="preserve">Lõige 5 sätestab korra kuidas võimalikest lepingumuudatustest tuleb teavitada lõpptarbijat (see võib olla ka ettevõte, korteriühistu ), kui ka kodutarbijat (eraisik), vastavalt kaks kuni kuu aega varem. Tekkib ka kohustus lõpptarbijal (kelleks kaugkütte puhul on sageli korteriühistu) teavitada uutest tingimustest ka lõppkasutajat (korteriomanikku). Võetakse üle direktiivi artikkel 21 lõige 3.  </w:t>
      </w:r>
    </w:p>
    <w:p w14:paraId="47C7756C" w14:textId="77777777" w:rsidR="00B731C3" w:rsidRDefault="00B731C3" w:rsidP="00B731C3">
      <w:pPr>
        <w:pStyle w:val="muudetavtekst"/>
        <w:rPr>
          <w:rFonts w:asciiTheme="minorHAnsi" w:hAnsiTheme="minorHAnsi" w:cstheme="minorHAnsi"/>
        </w:rPr>
      </w:pPr>
      <w:r>
        <w:rPr>
          <w:rFonts w:asciiTheme="minorHAnsi" w:hAnsiTheme="minorHAnsi" w:cstheme="minorHAnsi"/>
        </w:rPr>
        <w:t xml:space="preserve">Lõige 6 määratleb nõuded kuidas energiateenuse eest tasuda samuti tuuakse selgelt välja kui eri makseviisidel võib esineda erinevaid lisatasusid. Võetakse üle direktiivi artikkel 21 lõige 4. </w:t>
      </w:r>
    </w:p>
    <w:p w14:paraId="49F07937" w14:textId="77777777" w:rsidR="00B731C3" w:rsidRDefault="00B731C3" w:rsidP="00B731C3">
      <w:pPr>
        <w:pStyle w:val="muudetavtekst"/>
      </w:pPr>
      <w:r>
        <w:rPr>
          <w:rFonts w:asciiTheme="minorHAnsi" w:hAnsiTheme="minorHAnsi" w:cstheme="minorHAnsi"/>
        </w:rPr>
        <w:t>Lõige 7 sätestab et ettemaksusüsteem, mis ei ole Eestis kütte, jahutuse ja sooja tarbevee puhul levinud, ei sea kodutarbijat ebasoodsamasse olukorda. Selle all mõeldakse v</w:t>
      </w:r>
      <w:r>
        <w:t xml:space="preserve">ähekaitstud inimesed jäävad suurema tõenäosusega praeguse olukorra juurde (st vaiketasud, ebaoptimaalsed tasud), mistõttu tuleks neid enne ettemaksusüsteemi kasutuselevõttu veelgi rohkem kaitsta ja juhendada. Ehk kui klient on jäänud pikalt ühe hinnapaketi juurde, ning kui tuleb turule uus hinnapakette, siis nendest tuleks tarbijat teavitada, et ta saaks teha teadliku valiku. Võetakse üle direktiivi artikkel 21 lõige 5. </w:t>
      </w:r>
    </w:p>
    <w:p w14:paraId="296709AD" w14:textId="77777777" w:rsidR="00B731C3" w:rsidRDefault="00B731C3" w:rsidP="00B731C3">
      <w:pPr>
        <w:pStyle w:val="muudetavtekst"/>
        <w:rPr>
          <w:rFonts w:asciiTheme="minorHAnsi" w:hAnsiTheme="minorHAnsi" w:cstheme="minorHAnsi"/>
        </w:rPr>
      </w:pPr>
      <w:r>
        <w:t>Lõige 8 sätestab et kõigi muude lepingut puudutavate tingimuste puhul kohaldatakse võlaõigusseaduses</w:t>
      </w:r>
      <w:r>
        <w:rPr>
          <w:rStyle w:val="Allmrkuseviide"/>
        </w:rPr>
        <w:footnoteReference w:id="54"/>
      </w:r>
      <w:r>
        <w:t xml:space="preserve"> tarbijaga sõlmitud lepingute tingimusi. </w:t>
      </w:r>
    </w:p>
    <w:p w14:paraId="70EAEB64" w14:textId="77777777" w:rsidR="00B731C3" w:rsidRDefault="00B731C3" w:rsidP="00B731C3">
      <w:pPr>
        <w:pStyle w:val="muudetavtekst"/>
        <w:rPr>
          <w:rFonts w:asciiTheme="minorHAnsi" w:hAnsiTheme="minorHAnsi" w:cstheme="minorHAnsi"/>
        </w:rPr>
      </w:pPr>
    </w:p>
    <w:p w14:paraId="7F554858" w14:textId="77777777" w:rsidR="00B731C3" w:rsidRDefault="00B731C3" w:rsidP="00B731C3">
      <w:pPr>
        <w:pStyle w:val="muudetavtekst"/>
        <w:rPr>
          <w:rFonts w:asciiTheme="minorHAnsi" w:hAnsiTheme="minorHAnsi" w:cstheme="minorBidi"/>
        </w:rPr>
      </w:pPr>
      <w:r w:rsidRPr="51248E01">
        <w:rPr>
          <w:rFonts w:asciiTheme="minorHAnsi" w:hAnsiTheme="minorHAnsi" w:cstheme="minorBidi"/>
          <w:b/>
        </w:rPr>
        <w:t xml:space="preserve">Punktiga </w:t>
      </w:r>
      <w:r>
        <w:rPr>
          <w:rFonts w:asciiTheme="minorHAnsi" w:hAnsiTheme="minorHAnsi" w:cstheme="minorBidi"/>
          <w:b/>
        </w:rPr>
        <w:t>39</w:t>
      </w:r>
      <w:r w:rsidRPr="51248E01">
        <w:rPr>
          <w:rFonts w:asciiTheme="minorHAnsi" w:hAnsiTheme="minorHAnsi" w:cstheme="minorBidi"/>
        </w:rPr>
        <w:t xml:space="preserve"> muudetakse EnKS</w:t>
      </w:r>
      <w:r>
        <w:rPr>
          <w:rFonts w:asciiTheme="minorHAnsi" w:hAnsiTheme="minorHAnsi" w:cstheme="minorBidi"/>
        </w:rPr>
        <w:t>i</w:t>
      </w:r>
      <w:r w:rsidRPr="51248E01">
        <w:rPr>
          <w:rFonts w:asciiTheme="minorHAnsi" w:hAnsiTheme="minorHAnsi" w:cstheme="minorBidi"/>
        </w:rPr>
        <w:t xml:space="preserve"> § 14 l</w:t>
      </w:r>
      <w:r>
        <w:rPr>
          <w:rFonts w:asciiTheme="minorHAnsi" w:hAnsiTheme="minorHAnsi" w:cstheme="minorBidi"/>
        </w:rPr>
        <w:t>õiget</w:t>
      </w:r>
      <w:r w:rsidRPr="51248E01">
        <w:rPr>
          <w:rFonts w:asciiTheme="minorHAnsi" w:hAnsiTheme="minorHAnsi" w:cstheme="minorBidi"/>
        </w:rPr>
        <w:t xml:space="preserve"> 2</w:t>
      </w:r>
      <w:r w:rsidRPr="51248E01">
        <w:rPr>
          <w:rFonts w:asciiTheme="minorHAnsi" w:hAnsiTheme="minorHAnsi" w:cstheme="minorBidi"/>
          <w:vertAlign w:val="superscript"/>
        </w:rPr>
        <w:t>1</w:t>
      </w:r>
      <w:r>
        <w:rPr>
          <w:rFonts w:asciiTheme="minorHAnsi" w:hAnsiTheme="minorHAnsi" w:cstheme="minorBidi"/>
        </w:rPr>
        <w:t xml:space="preserve"> ja 2</w:t>
      </w:r>
      <w:r>
        <w:rPr>
          <w:rFonts w:asciiTheme="minorHAnsi" w:hAnsiTheme="minorHAnsi" w:cstheme="minorBidi"/>
          <w:vertAlign w:val="superscript"/>
        </w:rPr>
        <w:t>2</w:t>
      </w:r>
      <w:r>
        <w:rPr>
          <w:rFonts w:asciiTheme="minorHAnsi" w:hAnsiTheme="minorHAnsi" w:cstheme="minorBidi"/>
        </w:rPr>
        <w:t xml:space="preserve">, </w:t>
      </w:r>
      <w:r w:rsidRPr="51248E01">
        <w:rPr>
          <w:rFonts w:asciiTheme="minorHAnsi" w:hAnsiTheme="minorHAnsi" w:cstheme="minorBidi"/>
        </w:rPr>
        <w:t>mis sätestab muudatused, kuidas summeerub riiklik energiasäästu kohustus aastatel 2021</w:t>
      </w:r>
      <w:r>
        <w:rPr>
          <w:rFonts w:asciiTheme="minorHAnsi" w:hAnsiTheme="minorHAnsi" w:cstheme="minorBidi"/>
        </w:rPr>
        <w:t>–</w:t>
      </w:r>
      <w:r w:rsidRPr="51248E01">
        <w:rPr>
          <w:rFonts w:asciiTheme="minorHAnsi" w:hAnsiTheme="minorHAnsi" w:cstheme="minorBidi"/>
        </w:rPr>
        <w:t>2030</w:t>
      </w:r>
      <w:r>
        <w:rPr>
          <w:rFonts w:asciiTheme="minorHAnsi" w:hAnsiTheme="minorHAnsi" w:cstheme="minorBidi"/>
        </w:rPr>
        <w:t xml:space="preserve"> ja edasi aastani 2040</w:t>
      </w:r>
      <w:r w:rsidRPr="51248E01">
        <w:rPr>
          <w:rFonts w:asciiTheme="minorHAnsi" w:hAnsiTheme="minorHAnsi" w:cstheme="minorBidi"/>
        </w:rPr>
        <w:t xml:space="preserve">. </w:t>
      </w:r>
    </w:p>
    <w:p w14:paraId="05C56344" w14:textId="77777777" w:rsidR="00B731C3" w:rsidRDefault="00B731C3" w:rsidP="00B731C3">
      <w:pPr>
        <w:pStyle w:val="muudetavtekst"/>
        <w:rPr>
          <w:rFonts w:asciiTheme="minorHAnsi" w:hAnsiTheme="minorHAnsi" w:cstheme="minorBidi"/>
        </w:rPr>
      </w:pPr>
      <w:r>
        <w:rPr>
          <w:rFonts w:asciiTheme="minorHAnsi" w:hAnsiTheme="minorHAnsi" w:cstheme="minorBidi"/>
        </w:rPr>
        <w:lastRenderedPageBreak/>
        <w:t>Lõige 2</w:t>
      </w:r>
      <w:r>
        <w:rPr>
          <w:rFonts w:asciiTheme="minorHAnsi" w:hAnsiTheme="minorHAnsi" w:cstheme="minorBidi"/>
          <w:vertAlign w:val="superscript"/>
        </w:rPr>
        <w:t>1</w:t>
      </w:r>
      <w:r>
        <w:rPr>
          <w:rFonts w:asciiTheme="minorHAnsi" w:hAnsiTheme="minorHAnsi" w:cstheme="minorBidi"/>
        </w:rPr>
        <w:t xml:space="preserve"> muudab riikliku energiasäästu kohustuse aastateks 2021-2030, võetakse üle direktiivi artikkel 8 lõige 1 punkt b. Direktiiv (EL) 2018/2002 määras, et</w:t>
      </w:r>
      <w:r w:rsidRPr="51248E01">
        <w:rPr>
          <w:rFonts w:asciiTheme="minorHAnsi" w:hAnsiTheme="minorHAnsi" w:cstheme="minorBidi"/>
        </w:rPr>
        <w:t xml:space="preserve"> </w:t>
      </w:r>
      <w:r w:rsidRPr="00DC1DA0">
        <w:rPr>
          <w:rFonts w:asciiTheme="minorHAnsi" w:hAnsiTheme="minorHAnsi" w:cstheme="minorBidi"/>
        </w:rPr>
        <w:t>1.</w:t>
      </w:r>
      <w:r>
        <w:rPr>
          <w:rFonts w:asciiTheme="minorHAnsi" w:hAnsiTheme="minorHAnsi" w:cstheme="minorBidi"/>
        </w:rPr>
        <w:t> </w:t>
      </w:r>
      <w:r w:rsidRPr="00DC1DA0">
        <w:rPr>
          <w:rFonts w:asciiTheme="minorHAnsi" w:hAnsiTheme="minorHAnsi" w:cstheme="minorBidi"/>
        </w:rPr>
        <w:t xml:space="preserve">jaanuarist 2021 kuni 31. detsembrini 2030 </w:t>
      </w:r>
      <w:r>
        <w:rPr>
          <w:rFonts w:asciiTheme="minorHAnsi" w:hAnsiTheme="minorHAnsi" w:cstheme="minorBidi"/>
        </w:rPr>
        <w:t xml:space="preserve">on </w:t>
      </w:r>
      <w:r w:rsidRPr="51248E01">
        <w:rPr>
          <w:rFonts w:asciiTheme="minorHAnsi" w:hAnsiTheme="minorHAnsi" w:cstheme="minorBidi"/>
        </w:rPr>
        <w:t>energiasäästu kohustus 0,8% igal aastal 2016-2018 keskmi</w:t>
      </w:r>
      <w:r>
        <w:rPr>
          <w:rFonts w:asciiTheme="minorHAnsi" w:hAnsiTheme="minorHAnsi" w:cstheme="minorBidi"/>
        </w:rPr>
        <w:t>sest</w:t>
      </w:r>
      <w:r w:rsidRPr="51248E01">
        <w:rPr>
          <w:rFonts w:asciiTheme="minorHAnsi" w:hAnsiTheme="minorHAnsi" w:cstheme="minorBidi"/>
        </w:rPr>
        <w:t xml:space="preserve"> lõpptarbijatele müüdud energiakogusest. </w:t>
      </w:r>
      <w:r>
        <w:rPr>
          <w:rFonts w:asciiTheme="minorHAnsi" w:hAnsiTheme="minorHAnsi" w:cstheme="minorBidi"/>
        </w:rPr>
        <w:t>Uus direktiiv aga suurendab energiasäästu</w:t>
      </w:r>
      <w:r w:rsidRPr="51248E01">
        <w:rPr>
          <w:rFonts w:asciiTheme="minorHAnsi" w:hAnsiTheme="minorHAnsi" w:cstheme="minorBidi"/>
        </w:rPr>
        <w:t xml:space="preserve"> kohustust samm</w:t>
      </w:r>
      <w:r>
        <w:rPr>
          <w:rFonts w:asciiTheme="minorHAnsi" w:hAnsiTheme="minorHAnsi" w:cstheme="minorBidi"/>
        </w:rPr>
        <w:t>-</w:t>
      </w:r>
      <w:r w:rsidRPr="51248E01">
        <w:rPr>
          <w:rFonts w:asciiTheme="minorHAnsi" w:hAnsiTheme="minorHAnsi" w:cstheme="minorBidi"/>
        </w:rPr>
        <w:t xml:space="preserve">sammult, kuid </w:t>
      </w:r>
      <w:r>
        <w:rPr>
          <w:rFonts w:asciiTheme="minorHAnsi" w:hAnsiTheme="minorHAnsi" w:cstheme="minorBidi"/>
        </w:rPr>
        <w:t xml:space="preserve">seda </w:t>
      </w:r>
      <w:r w:rsidRPr="51248E01">
        <w:rPr>
          <w:rFonts w:asciiTheme="minorHAnsi" w:hAnsiTheme="minorHAnsi" w:cstheme="minorBidi"/>
        </w:rPr>
        <w:t xml:space="preserve">arvutatakse alati </w:t>
      </w:r>
      <w:r>
        <w:rPr>
          <w:rFonts w:asciiTheme="minorHAnsi" w:hAnsiTheme="minorHAnsi" w:cstheme="minorBidi"/>
        </w:rPr>
        <w:t xml:space="preserve">aastate </w:t>
      </w:r>
      <w:r w:rsidRPr="51248E01">
        <w:rPr>
          <w:rFonts w:asciiTheme="minorHAnsi" w:hAnsiTheme="minorHAnsi" w:cstheme="minorBidi"/>
        </w:rPr>
        <w:t>2016</w:t>
      </w:r>
      <w:r>
        <w:rPr>
          <w:rFonts w:asciiTheme="minorHAnsi" w:hAnsiTheme="minorHAnsi" w:cstheme="minorBidi"/>
        </w:rPr>
        <w:t>–</w:t>
      </w:r>
      <w:r w:rsidRPr="51248E01">
        <w:rPr>
          <w:rFonts w:asciiTheme="minorHAnsi" w:hAnsiTheme="minorHAnsi" w:cstheme="minorBidi"/>
        </w:rPr>
        <w:t>2018 keskmisest lõpptarbijatele müüdud energiakogusest</w:t>
      </w:r>
      <w:r>
        <w:rPr>
          <w:rFonts w:asciiTheme="minorHAnsi" w:hAnsiTheme="minorHAnsi" w:cstheme="minorBidi"/>
        </w:rPr>
        <w:t>:</w:t>
      </w:r>
    </w:p>
    <w:p w14:paraId="007DCE98" w14:textId="77777777" w:rsidR="00B731C3" w:rsidRDefault="00B731C3" w:rsidP="00B731C3">
      <w:pPr>
        <w:pStyle w:val="muudetavtekst"/>
        <w:rPr>
          <w:rFonts w:asciiTheme="minorHAnsi" w:hAnsiTheme="minorHAnsi" w:cstheme="minorHAnsi"/>
        </w:rPr>
      </w:pPr>
      <w:r>
        <w:rPr>
          <w:rFonts w:asciiTheme="minorHAnsi" w:hAnsiTheme="minorHAnsi" w:cstheme="minorHAnsi"/>
        </w:rPr>
        <w:t>2021–2023 tuleb saavutada 0,8% igal aastal energiasäästu keskmisest tarbitud energiakogusest (268,7 GWh);</w:t>
      </w:r>
    </w:p>
    <w:p w14:paraId="756B5B1B" w14:textId="77777777" w:rsidR="00B731C3" w:rsidRDefault="00B731C3" w:rsidP="00B731C3">
      <w:pPr>
        <w:pStyle w:val="muudetavtekst"/>
        <w:rPr>
          <w:rFonts w:asciiTheme="minorHAnsi" w:hAnsiTheme="minorHAnsi" w:cstheme="minorHAnsi"/>
        </w:rPr>
      </w:pPr>
      <w:r>
        <w:rPr>
          <w:rFonts w:asciiTheme="minorHAnsi" w:hAnsiTheme="minorHAnsi" w:cstheme="minorHAnsi"/>
        </w:rPr>
        <w:t xml:space="preserve">2024–2025 </w:t>
      </w:r>
      <w:bookmarkStart w:id="5" w:name="_Hlk191591849"/>
      <w:r w:rsidRPr="00743303">
        <w:rPr>
          <w:rFonts w:asciiTheme="minorHAnsi" w:hAnsiTheme="minorHAnsi" w:cstheme="minorHAnsi"/>
        </w:rPr>
        <w:t xml:space="preserve">tuleb saavutada </w:t>
      </w:r>
      <w:r>
        <w:rPr>
          <w:rFonts w:asciiTheme="minorHAnsi" w:hAnsiTheme="minorHAnsi" w:cstheme="minorHAnsi"/>
        </w:rPr>
        <w:t>1,3</w:t>
      </w:r>
      <w:r w:rsidRPr="00743303">
        <w:rPr>
          <w:rFonts w:asciiTheme="minorHAnsi" w:hAnsiTheme="minorHAnsi" w:cstheme="minorHAnsi"/>
        </w:rPr>
        <w:t>%</w:t>
      </w:r>
      <w:r>
        <w:rPr>
          <w:rFonts w:asciiTheme="minorHAnsi" w:hAnsiTheme="minorHAnsi" w:cstheme="minorHAnsi"/>
        </w:rPr>
        <w:t xml:space="preserve"> igal aastal</w:t>
      </w:r>
      <w:r w:rsidRPr="00743303">
        <w:rPr>
          <w:rFonts w:asciiTheme="minorHAnsi" w:hAnsiTheme="minorHAnsi" w:cstheme="minorHAnsi"/>
        </w:rPr>
        <w:t xml:space="preserve"> energiasäästu keskmisest tarbitud energiakogusest</w:t>
      </w:r>
      <w:r>
        <w:rPr>
          <w:rFonts w:asciiTheme="minorHAnsi" w:hAnsiTheme="minorHAnsi" w:cstheme="minorHAnsi"/>
        </w:rPr>
        <w:t xml:space="preserve"> (436,7 GWh);</w:t>
      </w:r>
    </w:p>
    <w:bookmarkEnd w:id="5"/>
    <w:p w14:paraId="32931C5D" w14:textId="77777777" w:rsidR="00B731C3" w:rsidRDefault="00B731C3" w:rsidP="00B731C3">
      <w:pPr>
        <w:pStyle w:val="muudetavtekst"/>
        <w:rPr>
          <w:rFonts w:asciiTheme="minorHAnsi" w:hAnsiTheme="minorHAnsi" w:cstheme="minorHAnsi"/>
        </w:rPr>
      </w:pPr>
      <w:r>
        <w:rPr>
          <w:rFonts w:asciiTheme="minorHAnsi" w:hAnsiTheme="minorHAnsi" w:cstheme="minorHAnsi"/>
        </w:rPr>
        <w:t xml:space="preserve">2026–2027 </w:t>
      </w:r>
      <w:r w:rsidRPr="00531C1C">
        <w:rPr>
          <w:rFonts w:asciiTheme="minorHAnsi" w:hAnsiTheme="minorHAnsi" w:cstheme="minorHAnsi"/>
        </w:rPr>
        <w:t>tuleb saavutada 1,</w:t>
      </w:r>
      <w:r>
        <w:rPr>
          <w:rFonts w:asciiTheme="minorHAnsi" w:hAnsiTheme="minorHAnsi" w:cstheme="minorHAnsi"/>
        </w:rPr>
        <w:t>5</w:t>
      </w:r>
      <w:r w:rsidRPr="00531C1C">
        <w:rPr>
          <w:rFonts w:asciiTheme="minorHAnsi" w:hAnsiTheme="minorHAnsi" w:cstheme="minorHAnsi"/>
        </w:rPr>
        <w:t xml:space="preserve">% </w:t>
      </w:r>
      <w:r>
        <w:rPr>
          <w:rFonts w:asciiTheme="minorHAnsi" w:hAnsiTheme="minorHAnsi" w:cstheme="minorHAnsi"/>
        </w:rPr>
        <w:t xml:space="preserve">igal aastal </w:t>
      </w:r>
      <w:r w:rsidRPr="00531C1C">
        <w:rPr>
          <w:rFonts w:asciiTheme="minorHAnsi" w:hAnsiTheme="minorHAnsi" w:cstheme="minorHAnsi"/>
        </w:rPr>
        <w:t>energiasäästu keskmisest tarbitud energiakogusest</w:t>
      </w:r>
      <w:r>
        <w:rPr>
          <w:rFonts w:asciiTheme="minorHAnsi" w:hAnsiTheme="minorHAnsi" w:cstheme="minorHAnsi"/>
        </w:rPr>
        <w:t xml:space="preserve"> (503,8 GWh);</w:t>
      </w:r>
    </w:p>
    <w:p w14:paraId="50B3DD0C" w14:textId="77777777" w:rsidR="00B731C3" w:rsidRDefault="00B731C3" w:rsidP="00B731C3">
      <w:pPr>
        <w:pStyle w:val="muudetavtekst"/>
        <w:rPr>
          <w:rFonts w:asciiTheme="minorHAnsi" w:hAnsiTheme="minorHAnsi" w:cstheme="minorHAnsi"/>
        </w:rPr>
      </w:pPr>
      <w:r w:rsidRPr="00515136">
        <w:rPr>
          <w:rFonts w:asciiTheme="minorHAnsi" w:hAnsiTheme="minorHAnsi" w:cstheme="minorHAnsi"/>
        </w:rPr>
        <w:t>202</w:t>
      </w:r>
      <w:r>
        <w:rPr>
          <w:rFonts w:asciiTheme="minorHAnsi" w:hAnsiTheme="minorHAnsi" w:cstheme="minorHAnsi"/>
        </w:rPr>
        <w:t>7</w:t>
      </w:r>
      <w:r w:rsidRPr="00515136">
        <w:rPr>
          <w:rFonts w:asciiTheme="minorHAnsi" w:hAnsiTheme="minorHAnsi" w:cstheme="minorHAnsi"/>
        </w:rPr>
        <w:t>–20</w:t>
      </w:r>
      <w:r>
        <w:rPr>
          <w:rFonts w:asciiTheme="minorHAnsi" w:hAnsiTheme="minorHAnsi" w:cstheme="minorHAnsi"/>
        </w:rPr>
        <w:t>30</w:t>
      </w:r>
      <w:r w:rsidRPr="00515136">
        <w:rPr>
          <w:rFonts w:asciiTheme="minorHAnsi" w:hAnsiTheme="minorHAnsi" w:cstheme="minorHAnsi"/>
        </w:rPr>
        <w:t xml:space="preserve"> tuleb saavutada 1,</w:t>
      </w:r>
      <w:r>
        <w:rPr>
          <w:rFonts w:asciiTheme="minorHAnsi" w:hAnsiTheme="minorHAnsi" w:cstheme="minorHAnsi"/>
        </w:rPr>
        <w:t>9</w:t>
      </w:r>
      <w:r w:rsidRPr="00515136">
        <w:rPr>
          <w:rFonts w:asciiTheme="minorHAnsi" w:hAnsiTheme="minorHAnsi" w:cstheme="minorHAnsi"/>
        </w:rPr>
        <w:t xml:space="preserve">% </w:t>
      </w:r>
      <w:r>
        <w:rPr>
          <w:rFonts w:asciiTheme="minorHAnsi" w:hAnsiTheme="minorHAnsi" w:cstheme="minorHAnsi"/>
        </w:rPr>
        <w:t xml:space="preserve">igal aastal </w:t>
      </w:r>
      <w:r w:rsidRPr="00515136">
        <w:rPr>
          <w:rFonts w:asciiTheme="minorHAnsi" w:hAnsiTheme="minorHAnsi" w:cstheme="minorHAnsi"/>
        </w:rPr>
        <w:t>energiasäästu keskmisest tarbitud energiakogusest</w:t>
      </w:r>
      <w:r>
        <w:rPr>
          <w:rFonts w:asciiTheme="minorHAnsi" w:hAnsiTheme="minorHAnsi" w:cstheme="minorHAnsi"/>
        </w:rPr>
        <w:t xml:space="preserve"> (638,2 GWh).</w:t>
      </w:r>
    </w:p>
    <w:p w14:paraId="1F33F738" w14:textId="77777777" w:rsidR="00B731C3" w:rsidRDefault="00B731C3" w:rsidP="00B731C3">
      <w:pPr>
        <w:pStyle w:val="muudetavtekst"/>
        <w:rPr>
          <w:rFonts w:asciiTheme="minorHAnsi" w:hAnsiTheme="minorHAnsi" w:cstheme="minorBidi"/>
        </w:rPr>
      </w:pPr>
      <w:r w:rsidRPr="51248E01">
        <w:rPr>
          <w:rFonts w:asciiTheme="minorHAnsi" w:hAnsiTheme="minorHAnsi" w:cstheme="minorBidi"/>
        </w:rPr>
        <w:t>Kokku on Eesti kohustuslik kumulatiivne energiatõhususe eesmärk aastaks 2030 21 295 GWh. Kumulatiivne kohustus on sätestatud juba 22.11.2023 Vabariigi Valituse määruses nr 104 „Energiasäästukohustuse jaotuskava</w:t>
      </w:r>
      <w:r w:rsidRPr="51248E01">
        <w:rPr>
          <w:rFonts w:asciiTheme="minorHAnsi" w:hAnsiTheme="minorHAnsi" w:cstheme="minorBidi"/>
          <w:vertAlign w:val="superscript"/>
        </w:rPr>
        <w:t>1</w:t>
      </w:r>
      <w:r w:rsidRPr="51248E01">
        <w:rPr>
          <w:rFonts w:asciiTheme="minorHAnsi" w:hAnsiTheme="minorHAnsi" w:cstheme="minorBidi"/>
        </w:rPr>
        <w:t>“</w:t>
      </w:r>
      <w:r w:rsidRPr="51248E01">
        <w:rPr>
          <w:rStyle w:val="Allmrkuseviide"/>
          <w:rFonts w:asciiTheme="minorHAnsi" w:hAnsiTheme="minorHAnsi" w:cstheme="minorBidi"/>
        </w:rPr>
        <w:footnoteReference w:id="55"/>
      </w:r>
      <w:r w:rsidRPr="51248E01">
        <w:rPr>
          <w:rFonts w:asciiTheme="minorHAnsi" w:hAnsiTheme="minorHAnsi" w:cstheme="minorBidi"/>
        </w:rPr>
        <w:t xml:space="preserve"> § 2.</w:t>
      </w:r>
    </w:p>
    <w:p w14:paraId="279FDB5D" w14:textId="77777777" w:rsidR="00B731C3" w:rsidRDefault="00B731C3" w:rsidP="00B731C3">
      <w:pPr>
        <w:pStyle w:val="muudetavtekst"/>
        <w:rPr>
          <w:rFonts w:asciiTheme="minorHAnsi" w:hAnsiTheme="minorHAnsi" w:cstheme="minorHAnsi"/>
        </w:rPr>
      </w:pPr>
      <w:r>
        <w:rPr>
          <w:rFonts w:asciiTheme="minorHAnsi" w:hAnsiTheme="minorHAnsi" w:cstheme="minorHAnsi"/>
        </w:rPr>
        <w:t>L</w:t>
      </w:r>
      <w:r w:rsidRPr="002C7B13">
        <w:rPr>
          <w:rFonts w:asciiTheme="minorHAnsi" w:hAnsiTheme="minorHAnsi" w:cstheme="minorHAnsi"/>
        </w:rPr>
        <w:t>õige 2</w:t>
      </w:r>
      <w:r>
        <w:rPr>
          <w:rFonts w:asciiTheme="minorHAnsi" w:hAnsiTheme="minorHAnsi" w:cstheme="minorHAnsi"/>
          <w:vertAlign w:val="superscript"/>
        </w:rPr>
        <w:t>2</w:t>
      </w:r>
      <w:r>
        <w:rPr>
          <w:rFonts w:asciiTheme="minorHAnsi" w:hAnsiTheme="minorHAnsi" w:cstheme="minorHAnsi"/>
        </w:rPr>
        <w:t>, sätestades peale 2030 riikliku energiasäästu kohustuse kuni aastani 2040. Sellega võetakse üle direktiivi artikkel 8 lõike 1 viies lõik. Energiasäästu kohustus on 1,9% (638,2 GWh) iga-aastasest 2016–2018 keskmisest tarbitud energiatarbimisest on kuni aastani 2040.</w:t>
      </w:r>
    </w:p>
    <w:p w14:paraId="3AAF4538" w14:textId="77777777" w:rsidR="00B731C3" w:rsidRDefault="00B731C3" w:rsidP="00B731C3">
      <w:pPr>
        <w:pStyle w:val="muudetavtekst"/>
        <w:rPr>
          <w:rFonts w:asciiTheme="minorHAnsi" w:hAnsiTheme="minorHAnsi" w:cstheme="minorHAnsi"/>
        </w:rPr>
      </w:pPr>
    </w:p>
    <w:p w14:paraId="70FF454A" w14:textId="77777777" w:rsidR="00B731C3" w:rsidRDefault="00B731C3" w:rsidP="00B731C3">
      <w:pPr>
        <w:pStyle w:val="muudetavtekst"/>
        <w:rPr>
          <w:rFonts w:asciiTheme="minorHAnsi" w:hAnsiTheme="minorHAnsi" w:cstheme="minorHAnsi"/>
        </w:rPr>
      </w:pPr>
      <w:r w:rsidRPr="009D5DB9">
        <w:rPr>
          <w:rFonts w:asciiTheme="minorHAnsi" w:hAnsiTheme="minorHAnsi" w:cstheme="minorHAnsi"/>
          <w:b/>
          <w:bCs/>
        </w:rPr>
        <w:t xml:space="preserve">Punktiga </w:t>
      </w:r>
      <w:r>
        <w:rPr>
          <w:rFonts w:asciiTheme="minorHAnsi" w:hAnsiTheme="minorHAnsi" w:cstheme="minorHAnsi"/>
          <w:b/>
          <w:bCs/>
        </w:rPr>
        <w:t>40</w:t>
      </w:r>
      <w:r>
        <w:rPr>
          <w:rFonts w:asciiTheme="minorHAnsi" w:hAnsiTheme="minorHAnsi" w:cstheme="minorHAnsi"/>
        </w:rPr>
        <w:t xml:space="preserve"> lisatakse EnKSi </w:t>
      </w:r>
      <w:r w:rsidRPr="51248E01">
        <w:rPr>
          <w:rFonts w:asciiTheme="minorHAnsi" w:hAnsiTheme="minorHAnsi" w:cstheme="minorBidi"/>
        </w:rPr>
        <w:t>§</w:t>
      </w:r>
      <w:r>
        <w:rPr>
          <w:rFonts w:asciiTheme="minorHAnsi" w:hAnsiTheme="minorHAnsi" w:cstheme="minorHAnsi"/>
        </w:rPr>
        <w:t xml:space="preserve"> 14 lõige 5,  ja võetakse üle direktiivi artikkel 8 lõike 3 kolmas lõik. Lõikega 4 sätestatakse kohustus teatud osa energiasäästust saavutada ka energiaostuvõimetute isikute ja sinna riskirühma kuuluvate isikute juures. </w:t>
      </w:r>
      <w:r w:rsidRPr="00FD0415">
        <w:rPr>
          <w:rFonts w:asciiTheme="minorHAnsi" w:hAnsiTheme="minorHAnsi" w:cstheme="minorHAnsi"/>
        </w:rPr>
        <w:t>See osakaal peab olema vähemalt võrdne energiaostuvõimetute isikute osakaaluga</w:t>
      </w:r>
      <w:r>
        <w:rPr>
          <w:rFonts w:asciiTheme="minorHAnsi" w:hAnsiTheme="minorHAnsi" w:cstheme="minorHAnsi"/>
        </w:rPr>
        <w:t>,</w:t>
      </w:r>
      <w:r w:rsidRPr="00FD0415">
        <w:rPr>
          <w:rFonts w:asciiTheme="minorHAnsi" w:hAnsiTheme="minorHAnsi" w:cstheme="minorHAnsi"/>
        </w:rPr>
        <w:t xml:space="preserve"> nagu on hinnatud riiklik</w:t>
      </w:r>
      <w:r>
        <w:rPr>
          <w:rFonts w:asciiTheme="minorHAnsi" w:hAnsiTheme="minorHAnsi" w:cstheme="minorHAnsi"/>
        </w:rPr>
        <w:t>u</w:t>
      </w:r>
      <w:r w:rsidRPr="00FD0415">
        <w:rPr>
          <w:rFonts w:asciiTheme="minorHAnsi" w:hAnsiTheme="minorHAnsi" w:cstheme="minorHAnsi"/>
        </w:rPr>
        <w:t>s energia- ja kliimakavas</w:t>
      </w:r>
      <w:r>
        <w:rPr>
          <w:rFonts w:asciiTheme="minorHAnsi" w:hAnsiTheme="minorHAnsi" w:cstheme="minorHAnsi"/>
        </w:rPr>
        <w:t>.</w:t>
      </w:r>
    </w:p>
    <w:p w14:paraId="0C1220D2" w14:textId="77777777" w:rsidR="00B731C3" w:rsidRDefault="00B731C3" w:rsidP="00B731C3">
      <w:pPr>
        <w:pStyle w:val="muudetavtekst"/>
        <w:rPr>
          <w:rFonts w:asciiTheme="minorHAnsi" w:hAnsiTheme="minorHAnsi" w:cstheme="minorHAnsi"/>
        </w:rPr>
      </w:pPr>
      <w:r>
        <w:rPr>
          <w:rFonts w:asciiTheme="minorHAnsi" w:hAnsiTheme="minorHAnsi" w:cstheme="minorHAnsi"/>
        </w:rPr>
        <w:t>Kliimakavas on märgitud et energiaostuvõimetute osakaal on ~2,0–3% vahel. Riigi kumulatiivne energiatõhususe eesmärk on 21 295 GWh, siis energiaostuvõimetute isikute juures tuleb saavutada ~ 426 GWh–745 GWh aastatel 2021–2030, mis teeks u 50 GWh aastas.</w:t>
      </w:r>
    </w:p>
    <w:p w14:paraId="2E81D25C" w14:textId="77777777" w:rsidR="00B731C3" w:rsidRDefault="00B731C3" w:rsidP="00B731C3">
      <w:pPr>
        <w:pStyle w:val="muudetavtekst"/>
        <w:rPr>
          <w:rFonts w:asciiTheme="minorHAnsi" w:hAnsiTheme="minorHAnsi" w:cstheme="minorHAnsi"/>
        </w:rPr>
      </w:pPr>
      <w:r w:rsidRPr="4BE139BE">
        <w:rPr>
          <w:rFonts w:asciiTheme="minorHAnsi" w:hAnsiTheme="minorHAnsi" w:cstheme="minorBidi"/>
        </w:rPr>
        <w:t>Statistikaameti andmete</w:t>
      </w:r>
      <w:r w:rsidRPr="4BE139BE">
        <w:rPr>
          <w:rStyle w:val="Allmrkuseviide"/>
          <w:rFonts w:asciiTheme="minorHAnsi" w:hAnsiTheme="minorHAnsi" w:cstheme="minorBidi"/>
        </w:rPr>
        <w:footnoteReference w:id="56"/>
      </w:r>
      <w:r w:rsidRPr="4BE139BE">
        <w:rPr>
          <w:rFonts w:asciiTheme="minorHAnsi" w:hAnsiTheme="minorHAnsi" w:cstheme="minorBidi"/>
        </w:rPr>
        <w:t xml:space="preserve"> järgi elas 2020</w:t>
      </w:r>
      <w:r>
        <w:rPr>
          <w:rFonts w:asciiTheme="minorHAnsi" w:hAnsiTheme="minorHAnsi" w:cstheme="minorBidi"/>
        </w:rPr>
        <w:t>.</w:t>
      </w:r>
      <w:r w:rsidRPr="4BE139BE">
        <w:rPr>
          <w:rFonts w:asciiTheme="minorHAnsi" w:hAnsiTheme="minorHAnsi" w:cstheme="minorBidi"/>
        </w:rPr>
        <w:t xml:space="preserve"> aastal 57,8% leibkondadest kortermajades.</w:t>
      </w:r>
      <w:r>
        <w:rPr>
          <w:rFonts w:asciiTheme="minorHAnsi" w:hAnsiTheme="minorHAnsi" w:cstheme="minorHAnsi"/>
        </w:rPr>
        <w:t xml:space="preserve"> Toimetuleku saajate osakaal</w:t>
      </w:r>
      <w:r>
        <w:rPr>
          <w:rStyle w:val="Allmrkuseviide"/>
          <w:rFonts w:asciiTheme="minorHAnsi" w:hAnsiTheme="minorHAnsi" w:cstheme="minorHAnsi"/>
        </w:rPr>
        <w:footnoteReference w:id="57"/>
      </w:r>
      <w:r>
        <w:rPr>
          <w:rFonts w:asciiTheme="minorHAnsi" w:hAnsiTheme="minorHAnsi" w:cstheme="minorHAnsi"/>
        </w:rPr>
        <w:t xml:space="preserve"> leibkondades on aastate jooksul langenud 4%lt (2022) 2,4%le (2024), neist kolmveerand elas kortermajades.</w:t>
      </w:r>
    </w:p>
    <w:p w14:paraId="456FE47F" w14:textId="77777777" w:rsidR="00B731C3" w:rsidRDefault="00B731C3" w:rsidP="00B731C3">
      <w:pPr>
        <w:pStyle w:val="muudetavtekst"/>
        <w:rPr>
          <w:rFonts w:asciiTheme="minorHAnsi" w:hAnsiTheme="minorHAnsi" w:cstheme="minorHAnsi"/>
        </w:rPr>
      </w:pPr>
      <w:r>
        <w:rPr>
          <w:rFonts w:asciiTheme="minorHAnsi" w:hAnsiTheme="minorHAnsi" w:cstheme="minorHAnsi"/>
        </w:rPr>
        <w:t>Kortermajade ja väikeelamute renoveerimisega saavutatav kokkuhoid aastatel 2021–2030 praeguseid rahastuskavasid arvestades on 1856 GWh ehk aastas u 390 GWh.</w:t>
      </w:r>
    </w:p>
    <w:p w14:paraId="709DA424" w14:textId="77777777" w:rsidR="00B731C3" w:rsidRDefault="00B731C3" w:rsidP="00B731C3">
      <w:pPr>
        <w:pStyle w:val="muudetavtekst"/>
        <w:rPr>
          <w:rFonts w:asciiTheme="minorHAnsi" w:hAnsiTheme="minorHAnsi" w:cstheme="minorBidi"/>
        </w:rPr>
      </w:pPr>
      <w:r w:rsidRPr="4BE139BE">
        <w:rPr>
          <w:rFonts w:asciiTheme="minorHAnsi" w:hAnsiTheme="minorHAnsi" w:cstheme="minorBidi"/>
        </w:rPr>
        <w:t xml:space="preserve">Võttes arvesse leibkondade arvu, siis energiaostuvõimetute juures on saavutatud ~20 GWh aastas, mis ei ole piisav. Tõenäoliselt on </w:t>
      </w:r>
      <w:r>
        <w:rPr>
          <w:rFonts w:asciiTheme="minorHAnsi" w:hAnsiTheme="minorHAnsi" w:cstheme="minorBidi"/>
        </w:rPr>
        <w:t>põhjus selles</w:t>
      </w:r>
      <w:r w:rsidRPr="4BE139BE">
        <w:rPr>
          <w:rFonts w:asciiTheme="minorHAnsi" w:hAnsiTheme="minorHAnsi" w:cstheme="minorBidi"/>
        </w:rPr>
        <w:t>, et toetust on saanud eelkõige aktiivsemad korterühistud, kus võib olla toimetuleku</w:t>
      </w:r>
      <w:r>
        <w:rPr>
          <w:rFonts w:asciiTheme="minorHAnsi" w:hAnsiTheme="minorHAnsi" w:cstheme="minorBidi"/>
        </w:rPr>
        <w:t>toetuse</w:t>
      </w:r>
      <w:r w:rsidRPr="4BE139BE">
        <w:rPr>
          <w:rFonts w:asciiTheme="minorHAnsi" w:hAnsiTheme="minorHAnsi" w:cstheme="minorBidi"/>
        </w:rPr>
        <w:t xml:space="preserve"> saajaid, kuid n</w:t>
      </w:r>
      <w:r>
        <w:rPr>
          <w:rFonts w:asciiTheme="minorHAnsi" w:hAnsiTheme="minorHAnsi" w:cstheme="minorBidi"/>
        </w:rPr>
        <w:t>eid on vähemuses.</w:t>
      </w:r>
      <w:r w:rsidRPr="4BE139BE">
        <w:rPr>
          <w:rFonts w:asciiTheme="minorHAnsi" w:hAnsiTheme="minorHAnsi" w:cstheme="minorBidi"/>
        </w:rPr>
        <w:t xml:space="preserve"> Seetõttu tuleb tulevikus leida </w:t>
      </w:r>
      <w:r>
        <w:rPr>
          <w:rFonts w:asciiTheme="minorHAnsi" w:hAnsiTheme="minorHAnsi" w:cstheme="minorBidi"/>
        </w:rPr>
        <w:t>lisa</w:t>
      </w:r>
      <w:r w:rsidRPr="4BE139BE">
        <w:rPr>
          <w:rFonts w:asciiTheme="minorHAnsi" w:hAnsiTheme="minorHAnsi" w:cstheme="minorBidi"/>
        </w:rPr>
        <w:t xml:space="preserve">vahendeid ja meetmeid, et </w:t>
      </w:r>
      <w:r>
        <w:rPr>
          <w:rFonts w:asciiTheme="minorHAnsi" w:hAnsiTheme="minorHAnsi" w:cstheme="minorBidi"/>
        </w:rPr>
        <w:t xml:space="preserve">saavutada energiasääst </w:t>
      </w:r>
      <w:r w:rsidRPr="4BE139BE">
        <w:rPr>
          <w:rFonts w:asciiTheme="minorHAnsi" w:hAnsiTheme="minorHAnsi" w:cstheme="minorBidi"/>
        </w:rPr>
        <w:t>just nende leibkondade juures</w:t>
      </w:r>
      <w:r>
        <w:rPr>
          <w:rFonts w:asciiTheme="minorHAnsi" w:hAnsiTheme="minorHAnsi" w:cstheme="minorBidi"/>
        </w:rPr>
        <w:t>.</w:t>
      </w:r>
    </w:p>
    <w:p w14:paraId="6AAEE845" w14:textId="77777777" w:rsidR="00B731C3" w:rsidRDefault="00B731C3" w:rsidP="00B731C3">
      <w:pPr>
        <w:pStyle w:val="muudetavtekst"/>
        <w:rPr>
          <w:rFonts w:asciiTheme="minorHAnsi" w:hAnsiTheme="minorHAnsi" w:cstheme="minorHAnsi"/>
        </w:rPr>
      </w:pPr>
    </w:p>
    <w:p w14:paraId="53118E2F" w14:textId="77777777" w:rsidR="00B731C3" w:rsidRDefault="00B731C3" w:rsidP="00B731C3">
      <w:pPr>
        <w:pStyle w:val="muudetavtekst"/>
        <w:rPr>
          <w:rFonts w:asciiTheme="minorHAnsi" w:hAnsiTheme="minorHAnsi" w:cstheme="minorBidi"/>
        </w:rPr>
      </w:pPr>
      <w:r w:rsidRPr="6928F765">
        <w:rPr>
          <w:rFonts w:asciiTheme="minorHAnsi" w:hAnsiTheme="minorHAnsi" w:cstheme="minorBidi"/>
          <w:b/>
        </w:rPr>
        <w:t xml:space="preserve">Punktiga </w:t>
      </w:r>
      <w:r>
        <w:rPr>
          <w:rFonts w:asciiTheme="minorHAnsi" w:hAnsiTheme="minorHAnsi" w:cstheme="minorBidi"/>
          <w:b/>
        </w:rPr>
        <w:t>41</w:t>
      </w:r>
      <w:r w:rsidRPr="6928F765">
        <w:rPr>
          <w:rFonts w:asciiTheme="minorHAnsi" w:hAnsiTheme="minorHAnsi" w:cstheme="minorBidi"/>
        </w:rPr>
        <w:t xml:space="preserve"> lisatakse EnKS</w:t>
      </w:r>
      <w:r>
        <w:rPr>
          <w:rFonts w:asciiTheme="minorHAnsi" w:hAnsiTheme="minorHAnsi" w:cstheme="minorBidi"/>
        </w:rPr>
        <w:t>i</w:t>
      </w:r>
      <w:r w:rsidRPr="6928F765">
        <w:rPr>
          <w:rFonts w:asciiTheme="minorHAnsi" w:hAnsiTheme="minorHAnsi" w:cstheme="minorBidi"/>
        </w:rPr>
        <w:t xml:space="preserve"> </w:t>
      </w:r>
      <w:r w:rsidRPr="51248E01">
        <w:rPr>
          <w:rFonts w:asciiTheme="minorHAnsi" w:hAnsiTheme="minorHAnsi" w:cstheme="minorBidi"/>
        </w:rPr>
        <w:t>§</w:t>
      </w:r>
      <w:r>
        <w:rPr>
          <w:rFonts w:asciiTheme="minorHAnsi" w:hAnsiTheme="minorHAnsi" w:cstheme="minorBidi"/>
        </w:rPr>
        <w:t xml:space="preserve"> </w:t>
      </w:r>
      <w:r w:rsidRPr="6928F765">
        <w:rPr>
          <w:rFonts w:asciiTheme="minorHAnsi" w:hAnsiTheme="minorHAnsi" w:cstheme="minorBidi"/>
        </w:rPr>
        <w:t>16</w:t>
      </w:r>
      <w:r w:rsidRPr="6928F765">
        <w:rPr>
          <w:rFonts w:asciiTheme="minorHAnsi" w:hAnsiTheme="minorHAnsi" w:cstheme="minorBidi"/>
          <w:vertAlign w:val="superscript"/>
        </w:rPr>
        <w:t>1</w:t>
      </w:r>
      <w:r w:rsidRPr="6928F765">
        <w:rPr>
          <w:rFonts w:asciiTheme="minorHAnsi" w:hAnsiTheme="minorHAnsi" w:cstheme="minorBidi"/>
        </w:rPr>
        <w:t xml:space="preserve"> lõiked 4 ja 5</w:t>
      </w:r>
      <w:r>
        <w:rPr>
          <w:rFonts w:asciiTheme="minorHAnsi" w:hAnsiTheme="minorHAnsi" w:cstheme="minorBidi"/>
        </w:rPr>
        <w:t>, ja võetakse üle direktiivi artikkel 8 lõige 13.</w:t>
      </w:r>
    </w:p>
    <w:p w14:paraId="63888939" w14:textId="77777777" w:rsidR="00B731C3" w:rsidRDefault="00B731C3" w:rsidP="00B731C3">
      <w:pPr>
        <w:pStyle w:val="muudetavtekst"/>
        <w:rPr>
          <w:rFonts w:asciiTheme="minorHAnsi" w:hAnsiTheme="minorHAnsi" w:cstheme="minorBidi"/>
        </w:rPr>
      </w:pPr>
      <w:r>
        <w:rPr>
          <w:rFonts w:asciiTheme="minorHAnsi" w:hAnsiTheme="minorHAnsi" w:cstheme="minorBidi"/>
        </w:rPr>
        <w:t>Lõike 4 kohaselt kantakse juhul, k</w:t>
      </w:r>
      <w:r w:rsidRPr="6928F765">
        <w:rPr>
          <w:rFonts w:asciiTheme="minorHAnsi" w:hAnsiTheme="minorHAnsi" w:cstheme="minorBidi"/>
        </w:rPr>
        <w:t>ui riik ei täida energiatõhususe eesmärki aastaks 2030, puudujääk üle järgmisesse perioodi (2030</w:t>
      </w:r>
      <w:r>
        <w:rPr>
          <w:rFonts w:asciiTheme="minorHAnsi" w:hAnsiTheme="minorHAnsi" w:cstheme="minorBidi"/>
        </w:rPr>
        <w:t>–</w:t>
      </w:r>
      <w:r w:rsidRPr="6928F765">
        <w:rPr>
          <w:rFonts w:asciiTheme="minorHAnsi" w:hAnsiTheme="minorHAnsi" w:cstheme="minorBidi"/>
        </w:rPr>
        <w:t xml:space="preserve">2040). </w:t>
      </w:r>
    </w:p>
    <w:p w14:paraId="08053BFB" w14:textId="77777777" w:rsidR="00B731C3" w:rsidRPr="00636106" w:rsidRDefault="00B731C3" w:rsidP="00B731C3">
      <w:pPr>
        <w:pStyle w:val="muudetavtekst"/>
        <w:rPr>
          <w:rFonts w:asciiTheme="minorHAnsi" w:hAnsiTheme="minorHAnsi" w:cstheme="minorBidi"/>
        </w:rPr>
      </w:pPr>
      <w:r w:rsidRPr="6928F765">
        <w:rPr>
          <w:rFonts w:asciiTheme="minorHAnsi" w:hAnsiTheme="minorHAnsi" w:cstheme="minorBidi"/>
        </w:rPr>
        <w:lastRenderedPageBreak/>
        <w:t>Lõi</w:t>
      </w:r>
      <w:r>
        <w:rPr>
          <w:rFonts w:asciiTheme="minorHAnsi" w:hAnsiTheme="minorHAnsi" w:cstheme="minorBidi"/>
        </w:rPr>
        <w:t>k</w:t>
      </w:r>
      <w:r w:rsidRPr="6928F765">
        <w:rPr>
          <w:rFonts w:asciiTheme="minorHAnsi" w:hAnsiTheme="minorHAnsi" w:cstheme="minorBidi"/>
        </w:rPr>
        <w:t xml:space="preserve">e 5 </w:t>
      </w:r>
      <w:r>
        <w:rPr>
          <w:rFonts w:asciiTheme="minorHAnsi" w:hAnsiTheme="minorHAnsi" w:cstheme="minorBidi"/>
        </w:rPr>
        <w:t>järgi saab juhul,</w:t>
      </w:r>
      <w:r w:rsidRPr="6928F765">
        <w:rPr>
          <w:rFonts w:asciiTheme="minorHAnsi" w:hAnsiTheme="minorHAnsi" w:cstheme="minorBidi"/>
        </w:rPr>
        <w:t xml:space="preserve"> kui perioodi lõpuks (2030) saavutatakse suurem energiasääst kui ette nähti, kuni 10% </w:t>
      </w:r>
      <w:r>
        <w:rPr>
          <w:rFonts w:asciiTheme="minorHAnsi" w:hAnsiTheme="minorHAnsi" w:cstheme="minorBidi"/>
        </w:rPr>
        <w:t xml:space="preserve">kanda üle </w:t>
      </w:r>
      <w:r w:rsidRPr="6928F765">
        <w:rPr>
          <w:rFonts w:asciiTheme="minorHAnsi" w:hAnsiTheme="minorHAnsi" w:cstheme="minorBidi"/>
        </w:rPr>
        <w:t>järgmise perioodi (2030</w:t>
      </w:r>
      <w:r>
        <w:rPr>
          <w:rFonts w:asciiTheme="minorHAnsi" w:hAnsiTheme="minorHAnsi" w:cstheme="minorBidi"/>
        </w:rPr>
        <w:t>–</w:t>
      </w:r>
      <w:r w:rsidRPr="6928F765">
        <w:rPr>
          <w:rFonts w:asciiTheme="minorHAnsi" w:hAnsiTheme="minorHAnsi" w:cstheme="minorBidi"/>
        </w:rPr>
        <w:t xml:space="preserve">2040) </w:t>
      </w:r>
      <w:r>
        <w:rPr>
          <w:rFonts w:asciiTheme="minorHAnsi" w:hAnsiTheme="minorHAnsi" w:cstheme="minorBidi"/>
        </w:rPr>
        <w:t xml:space="preserve">energiasäästu </w:t>
      </w:r>
      <w:r w:rsidRPr="6928F765">
        <w:rPr>
          <w:rFonts w:asciiTheme="minorHAnsi" w:hAnsiTheme="minorHAnsi" w:cstheme="minorBidi"/>
        </w:rPr>
        <w:t>kohustusse, ilma et lõppeesmärk muutuks.</w:t>
      </w:r>
    </w:p>
    <w:p w14:paraId="4BDAD1B7" w14:textId="77777777" w:rsidR="00B731C3" w:rsidRDefault="00B731C3" w:rsidP="00B731C3">
      <w:pPr>
        <w:pStyle w:val="muudetavtekst"/>
        <w:rPr>
          <w:rFonts w:asciiTheme="minorHAnsi" w:hAnsiTheme="minorHAnsi" w:cstheme="minorHAnsi"/>
        </w:rPr>
      </w:pPr>
    </w:p>
    <w:p w14:paraId="24AC48E7" w14:textId="77777777" w:rsidR="00B731C3" w:rsidRDefault="00B731C3" w:rsidP="00B731C3">
      <w:pPr>
        <w:pStyle w:val="muudetavtekst"/>
        <w:rPr>
          <w:rFonts w:asciiTheme="minorHAnsi" w:hAnsiTheme="minorHAnsi" w:cstheme="minorBidi"/>
        </w:rPr>
      </w:pPr>
      <w:r w:rsidRPr="6928F765">
        <w:rPr>
          <w:rFonts w:asciiTheme="minorHAnsi" w:hAnsiTheme="minorHAnsi" w:cstheme="minorBidi"/>
          <w:b/>
        </w:rPr>
        <w:t xml:space="preserve">Punktiga </w:t>
      </w:r>
      <w:r>
        <w:rPr>
          <w:rFonts w:asciiTheme="minorHAnsi" w:hAnsiTheme="minorHAnsi" w:cstheme="minorBidi"/>
          <w:b/>
        </w:rPr>
        <w:t>42</w:t>
      </w:r>
      <w:r w:rsidRPr="6928F765">
        <w:rPr>
          <w:rFonts w:asciiTheme="minorHAnsi" w:hAnsiTheme="minorHAnsi" w:cstheme="minorBidi"/>
        </w:rPr>
        <w:t xml:space="preserve"> lisatakse EnKS</w:t>
      </w:r>
      <w:r>
        <w:rPr>
          <w:rFonts w:asciiTheme="minorHAnsi" w:hAnsiTheme="minorHAnsi" w:cstheme="minorBidi"/>
        </w:rPr>
        <w:t>i</w:t>
      </w:r>
      <w:r w:rsidRPr="6928F765">
        <w:rPr>
          <w:rFonts w:asciiTheme="minorHAnsi" w:hAnsiTheme="minorHAnsi" w:cstheme="minorBidi"/>
        </w:rPr>
        <w:t xml:space="preserve"> </w:t>
      </w:r>
      <w:r w:rsidRPr="51248E01">
        <w:rPr>
          <w:rFonts w:asciiTheme="minorHAnsi" w:hAnsiTheme="minorHAnsi" w:cstheme="minorBidi"/>
        </w:rPr>
        <w:t>§</w:t>
      </w:r>
      <w:r>
        <w:rPr>
          <w:rFonts w:asciiTheme="minorHAnsi" w:hAnsiTheme="minorHAnsi" w:cstheme="minorBidi"/>
        </w:rPr>
        <w:t xml:space="preserve"> </w:t>
      </w:r>
      <w:r w:rsidRPr="6928F765">
        <w:rPr>
          <w:rFonts w:asciiTheme="minorHAnsi" w:hAnsiTheme="minorHAnsi" w:cstheme="minorBidi"/>
        </w:rPr>
        <w:t>21 lõikesse 1 punkt 9, mis sätestab, et eraldi tuleb näha poliitikameetmed, mis tagavad energiasäästu energiaostuvõimetute isikute juures.</w:t>
      </w:r>
      <w:r>
        <w:rPr>
          <w:rFonts w:asciiTheme="minorHAnsi" w:hAnsiTheme="minorHAnsi" w:cstheme="minorBidi"/>
        </w:rPr>
        <w:t xml:space="preserve"> Võetakse üle direktiivi artikkel 8 lõike 3 esimene lõige. </w:t>
      </w:r>
      <w:r w:rsidRPr="6928F765">
        <w:rPr>
          <w:rFonts w:asciiTheme="minorHAnsi" w:hAnsiTheme="minorHAnsi" w:cstheme="minorBidi"/>
        </w:rPr>
        <w:t xml:space="preserve"> Poliitikameetmed võivad olla toetused, käendused, ka teavitustöö jne. </w:t>
      </w:r>
      <w:r>
        <w:rPr>
          <w:rFonts w:asciiTheme="minorHAnsi" w:hAnsiTheme="minorHAnsi" w:cstheme="minorBidi"/>
        </w:rPr>
        <w:t>U</w:t>
      </w:r>
      <w:r w:rsidRPr="6928F765">
        <w:rPr>
          <w:rFonts w:asciiTheme="minorHAnsi" w:hAnsiTheme="minorHAnsi" w:cstheme="minorBidi"/>
        </w:rPr>
        <w:t>u</w:t>
      </w:r>
      <w:r>
        <w:rPr>
          <w:rFonts w:asciiTheme="minorHAnsi" w:hAnsiTheme="minorHAnsi" w:cstheme="minorBidi"/>
        </w:rPr>
        <w:t>s</w:t>
      </w:r>
      <w:r w:rsidRPr="6928F765">
        <w:rPr>
          <w:rFonts w:asciiTheme="minorHAnsi" w:hAnsiTheme="minorHAnsi" w:cstheme="minorBidi"/>
        </w:rPr>
        <w:t xml:space="preserve"> poliitikamee</w:t>
      </w:r>
      <w:r>
        <w:rPr>
          <w:rFonts w:asciiTheme="minorHAnsi" w:hAnsiTheme="minorHAnsi" w:cstheme="minorBidi"/>
        </w:rPr>
        <w:t>de</w:t>
      </w:r>
      <w:r w:rsidRPr="6928F765">
        <w:rPr>
          <w:rFonts w:asciiTheme="minorHAnsi" w:hAnsiTheme="minorHAnsi" w:cstheme="minorBidi"/>
        </w:rPr>
        <w:t xml:space="preserve"> on Sotsiaalse Kliimafondi</w:t>
      </w:r>
      <w:r w:rsidRPr="6928F765">
        <w:rPr>
          <w:rStyle w:val="Allmrkuseviide"/>
          <w:rFonts w:asciiTheme="minorHAnsi" w:hAnsiTheme="minorHAnsi" w:cstheme="minorBidi"/>
        </w:rPr>
        <w:footnoteReference w:id="58"/>
      </w:r>
      <w:r w:rsidRPr="6928F765">
        <w:rPr>
          <w:rFonts w:asciiTheme="minorHAnsi" w:hAnsiTheme="minorHAnsi" w:cstheme="minorBidi"/>
        </w:rPr>
        <w:t xml:space="preserve"> (SKF) rahastus, mis aitab energiasäästu eesmärgile kaasa perioodil 2026</w:t>
      </w:r>
      <w:r>
        <w:rPr>
          <w:rFonts w:asciiTheme="minorHAnsi" w:hAnsiTheme="minorHAnsi" w:cstheme="minorBidi"/>
        </w:rPr>
        <w:t>–</w:t>
      </w:r>
      <w:r w:rsidRPr="6928F765">
        <w:rPr>
          <w:rFonts w:asciiTheme="minorHAnsi" w:hAnsiTheme="minorHAnsi" w:cstheme="minorBidi"/>
        </w:rPr>
        <w:t xml:space="preserve">2032. SKF on üks </w:t>
      </w:r>
      <w:r>
        <w:rPr>
          <w:rFonts w:asciiTheme="minorHAnsi" w:hAnsiTheme="minorHAnsi" w:cstheme="minorBidi"/>
        </w:rPr>
        <w:t>k</w:t>
      </w:r>
      <w:r w:rsidRPr="6928F765">
        <w:rPr>
          <w:rFonts w:asciiTheme="minorHAnsi" w:hAnsiTheme="minorHAnsi" w:cstheme="minorBidi"/>
        </w:rPr>
        <w:t xml:space="preserve">omisjoni 14.07.2021 esitatud kliimapaketi (Fit For 55) algatusest, mille eesmärk on </w:t>
      </w:r>
      <w:r>
        <w:rPr>
          <w:rFonts w:asciiTheme="minorHAnsi" w:hAnsiTheme="minorHAnsi" w:cstheme="minorBidi"/>
        </w:rPr>
        <w:t xml:space="preserve">kiirendada </w:t>
      </w:r>
      <w:r w:rsidRPr="6928F765">
        <w:rPr>
          <w:rFonts w:asciiTheme="minorHAnsi" w:hAnsiTheme="minorHAnsi" w:cstheme="minorBidi"/>
        </w:rPr>
        <w:t xml:space="preserve">kasvuhoonegaaside heite vähendamist, toetades selles protsessis vähekaitstud leibkondi ja mikroettevõtteid energiaostuvõimetuse ja transpordivaesuse vähendamisel. </w:t>
      </w:r>
      <w:r>
        <w:rPr>
          <w:rFonts w:asciiTheme="minorHAnsi" w:hAnsiTheme="minorHAnsi" w:cstheme="minorBidi"/>
        </w:rPr>
        <w:t>SKF</w:t>
      </w:r>
      <w:r w:rsidRPr="6928F765">
        <w:rPr>
          <w:rFonts w:asciiTheme="minorHAnsi" w:hAnsiTheme="minorHAnsi" w:cstheme="minorBidi"/>
        </w:rPr>
        <w:t xml:space="preserve"> sihtrühmad on vähekaitstud leibkonnad, mikroettevõtjad ja transpordikasutajad. Eesti maksimaalne toetusmaht on 186 mln eurot, mille</w:t>
      </w:r>
      <w:r>
        <w:rPr>
          <w:rFonts w:asciiTheme="minorHAnsi" w:hAnsiTheme="minorHAnsi" w:cstheme="minorBidi"/>
        </w:rPr>
        <w:t xml:space="preserve"> riiklik kaasfinantseering</w:t>
      </w:r>
      <w:r w:rsidRPr="6928F765">
        <w:rPr>
          <w:rFonts w:asciiTheme="minorHAnsi" w:hAnsiTheme="minorHAnsi" w:cstheme="minorBidi"/>
        </w:rPr>
        <w:t xml:space="preserve"> on vähemalt 25%</w:t>
      </w:r>
      <w:r>
        <w:rPr>
          <w:rFonts w:asciiTheme="minorHAnsi" w:hAnsiTheme="minorHAnsi" w:cstheme="minorBidi"/>
        </w:rPr>
        <w:t>.</w:t>
      </w:r>
      <w:r w:rsidRPr="6928F765">
        <w:rPr>
          <w:rFonts w:asciiTheme="minorHAnsi" w:hAnsiTheme="minorHAnsi" w:cstheme="minorBidi"/>
        </w:rPr>
        <w:t xml:space="preserve"> SKF tegevuskava on Rahandusministeeriumis välja töötamisel</w:t>
      </w:r>
      <w:r>
        <w:rPr>
          <w:rFonts w:asciiTheme="minorHAnsi" w:hAnsiTheme="minorHAnsi" w:cstheme="minorBidi"/>
        </w:rPr>
        <w:t xml:space="preserve"> ja</w:t>
      </w:r>
      <w:r w:rsidRPr="6928F765">
        <w:rPr>
          <w:rFonts w:asciiTheme="minorHAnsi" w:hAnsiTheme="minorHAnsi" w:cstheme="minorBidi"/>
        </w:rPr>
        <w:t xml:space="preserve"> peaks valmima 2025.</w:t>
      </w:r>
      <w:r>
        <w:rPr>
          <w:rFonts w:asciiTheme="minorHAnsi" w:hAnsiTheme="minorHAnsi" w:cstheme="minorBidi"/>
        </w:rPr>
        <w:t xml:space="preserve"> </w:t>
      </w:r>
      <w:r w:rsidRPr="6928F765">
        <w:rPr>
          <w:rFonts w:asciiTheme="minorHAnsi" w:hAnsiTheme="minorHAnsi" w:cstheme="minorBidi"/>
        </w:rPr>
        <w:t>a keskpaigas</w:t>
      </w:r>
      <w:r>
        <w:rPr>
          <w:rFonts w:asciiTheme="minorHAnsi" w:hAnsiTheme="minorHAnsi" w:cstheme="minorBidi"/>
        </w:rPr>
        <w:t>,</w:t>
      </w:r>
      <w:r w:rsidRPr="6928F765">
        <w:rPr>
          <w:rFonts w:asciiTheme="minorHAnsi" w:hAnsiTheme="minorHAnsi" w:cstheme="minorBidi"/>
        </w:rPr>
        <w:t xml:space="preserve"> selle elluviimine jääb </w:t>
      </w:r>
      <w:r>
        <w:rPr>
          <w:rFonts w:asciiTheme="minorHAnsi" w:hAnsiTheme="minorHAnsi" w:cstheme="minorBidi"/>
        </w:rPr>
        <w:t>aastaisse</w:t>
      </w:r>
      <w:r w:rsidRPr="6928F765">
        <w:rPr>
          <w:rFonts w:asciiTheme="minorHAnsi" w:hAnsiTheme="minorHAnsi" w:cstheme="minorBidi"/>
        </w:rPr>
        <w:t xml:space="preserve"> 2026</w:t>
      </w:r>
      <w:r>
        <w:rPr>
          <w:rFonts w:asciiTheme="minorHAnsi" w:hAnsiTheme="minorHAnsi" w:cstheme="minorBidi"/>
        </w:rPr>
        <w:t>–</w:t>
      </w:r>
      <w:r w:rsidRPr="6928F765">
        <w:rPr>
          <w:rFonts w:asciiTheme="minorHAnsi" w:hAnsiTheme="minorHAnsi" w:cstheme="minorBidi"/>
        </w:rPr>
        <w:t>2032.</w:t>
      </w:r>
    </w:p>
    <w:p w14:paraId="00757D38" w14:textId="77777777" w:rsidR="00B731C3" w:rsidRDefault="00B731C3" w:rsidP="00B731C3">
      <w:pPr>
        <w:pStyle w:val="muudetavtekst"/>
        <w:rPr>
          <w:rFonts w:asciiTheme="minorHAnsi" w:hAnsiTheme="minorHAnsi" w:cstheme="minorHAnsi"/>
        </w:rPr>
      </w:pPr>
    </w:p>
    <w:p w14:paraId="365182C5" w14:textId="77777777" w:rsidR="00B731C3" w:rsidRDefault="00B731C3" w:rsidP="00B731C3">
      <w:pPr>
        <w:pStyle w:val="muudetavtekst"/>
        <w:rPr>
          <w:rFonts w:asciiTheme="minorHAnsi" w:hAnsiTheme="minorHAnsi" w:cstheme="minorBidi"/>
        </w:rPr>
      </w:pPr>
      <w:r w:rsidRPr="57490200">
        <w:rPr>
          <w:rFonts w:asciiTheme="minorHAnsi" w:hAnsiTheme="minorHAnsi" w:cstheme="minorBidi"/>
          <w:b/>
          <w:bCs/>
        </w:rPr>
        <w:t>Punktiga 4</w:t>
      </w:r>
      <w:r>
        <w:rPr>
          <w:rFonts w:asciiTheme="minorHAnsi" w:hAnsiTheme="minorHAnsi" w:cstheme="minorBidi"/>
          <w:b/>
          <w:bCs/>
        </w:rPr>
        <w:t>3</w:t>
      </w:r>
      <w:r w:rsidRPr="57490200">
        <w:rPr>
          <w:rFonts w:asciiTheme="minorHAnsi" w:hAnsiTheme="minorHAnsi" w:cstheme="minorBidi"/>
        </w:rPr>
        <w:t xml:space="preserve"> muudetakse EnKS</w:t>
      </w:r>
      <w:r>
        <w:rPr>
          <w:rFonts w:asciiTheme="minorHAnsi" w:hAnsiTheme="minorHAnsi" w:cstheme="minorBidi"/>
        </w:rPr>
        <w:t>i</w:t>
      </w:r>
      <w:r w:rsidRPr="57490200">
        <w:rPr>
          <w:rFonts w:asciiTheme="minorHAnsi" w:hAnsiTheme="minorHAnsi" w:cstheme="minorBidi"/>
        </w:rPr>
        <w:t xml:space="preserve"> </w:t>
      </w:r>
      <w:r w:rsidRPr="51248E01">
        <w:rPr>
          <w:rFonts w:asciiTheme="minorHAnsi" w:hAnsiTheme="minorHAnsi" w:cstheme="minorBidi"/>
        </w:rPr>
        <w:t>§</w:t>
      </w:r>
      <w:r>
        <w:rPr>
          <w:rFonts w:asciiTheme="minorHAnsi" w:hAnsiTheme="minorHAnsi" w:cstheme="minorBidi"/>
        </w:rPr>
        <w:t xml:space="preserve"> 27 </w:t>
      </w:r>
      <w:r w:rsidRPr="57490200">
        <w:rPr>
          <w:rFonts w:asciiTheme="minorHAnsi" w:hAnsiTheme="minorHAnsi" w:cstheme="minorBidi"/>
        </w:rPr>
        <w:t>lõiget 7, laiendades isikute ringi, kellel on õigus te</w:t>
      </w:r>
      <w:r>
        <w:rPr>
          <w:rFonts w:asciiTheme="minorHAnsi" w:hAnsiTheme="minorHAnsi" w:cstheme="minorBidi"/>
        </w:rPr>
        <w:t>ha</w:t>
      </w:r>
      <w:r w:rsidRPr="57490200">
        <w:rPr>
          <w:rFonts w:asciiTheme="minorHAnsi" w:hAnsiTheme="minorHAnsi" w:cstheme="minorBidi"/>
        </w:rPr>
        <w:t xml:space="preserve"> ettevõtete energiaauditeid. Kui seni on see õigus olnud vaid hoonete energiatõhususe taustaga isikute</w:t>
      </w:r>
      <w:r>
        <w:rPr>
          <w:rFonts w:asciiTheme="minorHAnsi" w:hAnsiTheme="minorHAnsi" w:cstheme="minorBidi"/>
        </w:rPr>
        <w:t>l</w:t>
      </w:r>
      <w:r w:rsidRPr="57490200">
        <w:rPr>
          <w:rFonts w:asciiTheme="minorHAnsi" w:hAnsiTheme="minorHAnsi" w:cstheme="minorBidi"/>
        </w:rPr>
        <w:t>, siis turul on ka soojusinsenere, kellel on kutsestandardi järgi õigus teha ettevõtete energiaauditeid, kuid seadus ei ole seda seni veel võimaldanud.</w:t>
      </w:r>
    </w:p>
    <w:p w14:paraId="70128699" w14:textId="77777777" w:rsidR="00B731C3" w:rsidRDefault="00B731C3" w:rsidP="00B731C3">
      <w:pPr>
        <w:pStyle w:val="muudetavtekst"/>
        <w:rPr>
          <w:rFonts w:asciiTheme="minorHAnsi" w:hAnsiTheme="minorHAnsi" w:cstheme="minorBidi"/>
        </w:rPr>
      </w:pPr>
      <w:r>
        <w:rPr>
          <w:rFonts w:asciiTheme="minorHAnsi" w:hAnsiTheme="minorHAnsi" w:cstheme="minorBidi"/>
        </w:rPr>
        <w:t>Tabelis 14 on esitatud kehtivad kutsed, kus on e</w:t>
      </w:r>
      <w:r w:rsidRPr="57490200">
        <w:rPr>
          <w:rFonts w:asciiTheme="minorHAnsi" w:hAnsiTheme="minorHAnsi" w:cstheme="minorBidi"/>
        </w:rPr>
        <w:t xml:space="preserve">ttevõtete energiaauditi </w:t>
      </w:r>
      <w:r>
        <w:rPr>
          <w:rFonts w:asciiTheme="minorHAnsi" w:hAnsiTheme="minorHAnsi" w:cstheme="minorBidi"/>
        </w:rPr>
        <w:t xml:space="preserve">tegemise </w:t>
      </w:r>
      <w:r w:rsidRPr="57490200">
        <w:rPr>
          <w:rFonts w:asciiTheme="minorHAnsi" w:hAnsiTheme="minorHAnsi" w:cstheme="minorBidi"/>
        </w:rPr>
        <w:t>pädevus</w:t>
      </w:r>
      <w:r>
        <w:rPr>
          <w:rFonts w:asciiTheme="minorHAnsi" w:hAnsiTheme="minorHAnsi" w:cstheme="minorBidi"/>
        </w:rPr>
        <w:t xml:space="preserve">. Kutsetasemeti esineb pädevate isikute tegevustel piiranguid (nt </w:t>
      </w:r>
      <w:r w:rsidRPr="57490200">
        <w:rPr>
          <w:rFonts w:asciiTheme="minorHAnsi" w:hAnsiTheme="minorHAnsi" w:cstheme="minorBidi"/>
        </w:rPr>
        <w:t>ettevõtte soojustarbimisele või paigaldatud seadmete</w:t>
      </w:r>
      <w:r>
        <w:rPr>
          <w:rFonts w:asciiTheme="minorHAnsi" w:hAnsiTheme="minorHAnsi" w:cstheme="minorBidi"/>
        </w:rPr>
        <w:t xml:space="preserve"> järgi</w:t>
      </w:r>
      <w:r w:rsidRPr="57490200">
        <w:rPr>
          <w:rFonts w:asciiTheme="minorHAnsi" w:hAnsiTheme="minorHAnsi" w:cstheme="minorBidi"/>
        </w:rPr>
        <w:t>)</w:t>
      </w:r>
      <w:r>
        <w:rPr>
          <w:rFonts w:asciiTheme="minorHAnsi" w:hAnsiTheme="minorHAnsi" w:cstheme="minorBidi"/>
        </w:rPr>
        <w:t>. Pädevaid isikuid, kellel on õigus teha ettevõtete energiaauditeid o</w:t>
      </w:r>
      <w:r w:rsidRPr="57490200">
        <w:rPr>
          <w:rFonts w:asciiTheme="minorHAnsi" w:hAnsiTheme="minorHAnsi" w:cstheme="minorBidi"/>
        </w:rPr>
        <w:t xml:space="preserve">n </w:t>
      </w:r>
      <w:r>
        <w:rPr>
          <w:rFonts w:asciiTheme="minorHAnsi" w:hAnsiTheme="minorHAnsi" w:cstheme="minorBidi"/>
        </w:rPr>
        <w:t>praegu</w:t>
      </w:r>
      <w:r w:rsidRPr="57490200">
        <w:rPr>
          <w:rFonts w:asciiTheme="minorHAnsi" w:hAnsiTheme="minorHAnsi" w:cstheme="minorBidi"/>
        </w:rPr>
        <w:t xml:space="preserve"> vaid 36, neist üheksal lisakompetents ettevõtte ressursitõhususe auditeerimiseks. Tegelikult turul aktiivselt osalevaid audiitoreid on 10</w:t>
      </w:r>
      <w:r>
        <w:rPr>
          <w:rFonts w:asciiTheme="minorHAnsi" w:hAnsiTheme="minorHAnsi" w:cstheme="minorBidi"/>
        </w:rPr>
        <w:t>–</w:t>
      </w:r>
      <w:r w:rsidRPr="57490200">
        <w:rPr>
          <w:rFonts w:asciiTheme="minorHAnsi" w:hAnsiTheme="minorHAnsi" w:cstheme="minorBidi"/>
        </w:rPr>
        <w:t>15.</w:t>
      </w:r>
    </w:p>
    <w:p w14:paraId="11C28862" w14:textId="77777777" w:rsidR="00B731C3" w:rsidRDefault="00B731C3" w:rsidP="00B731C3">
      <w:pPr>
        <w:pStyle w:val="muudetavtekst"/>
        <w:rPr>
          <w:rFonts w:asciiTheme="minorHAnsi" w:hAnsiTheme="minorHAnsi" w:cstheme="minorHAnsi"/>
        </w:rPr>
      </w:pPr>
    </w:p>
    <w:p w14:paraId="6EF6C12F" w14:textId="77777777" w:rsidR="00B731C3" w:rsidRDefault="00B731C3" w:rsidP="00B731C3">
      <w:pPr>
        <w:pStyle w:val="muudetavtekst"/>
        <w:rPr>
          <w:rFonts w:asciiTheme="minorHAnsi" w:hAnsiTheme="minorHAnsi" w:cstheme="minorHAnsi"/>
        </w:rPr>
      </w:pPr>
      <w:r>
        <w:rPr>
          <w:rFonts w:asciiTheme="minorHAnsi" w:hAnsiTheme="minorHAnsi" w:cstheme="minorHAnsi"/>
        </w:rPr>
        <w:t>Tabel 14 Ettevõtete energiaauditi tegemise pädevus kutsetasemeti</w:t>
      </w:r>
    </w:p>
    <w:tbl>
      <w:tblPr>
        <w:tblStyle w:val="Kontuurtabel"/>
        <w:tblW w:w="9175" w:type="dxa"/>
        <w:tblLayout w:type="fixed"/>
        <w:tblLook w:val="04A0" w:firstRow="1" w:lastRow="0" w:firstColumn="1" w:lastColumn="0" w:noHBand="0" w:noVBand="1"/>
      </w:tblPr>
      <w:tblGrid>
        <w:gridCol w:w="988"/>
        <w:gridCol w:w="1984"/>
        <w:gridCol w:w="3969"/>
        <w:gridCol w:w="2234"/>
      </w:tblGrid>
      <w:tr w:rsidR="00B731C3" w14:paraId="226EC75A" w14:textId="77777777" w:rsidTr="00A13E67">
        <w:tc>
          <w:tcPr>
            <w:tcW w:w="988" w:type="dxa"/>
          </w:tcPr>
          <w:p w14:paraId="0B5E2103" w14:textId="77777777" w:rsidR="00B731C3" w:rsidRDefault="00B731C3" w:rsidP="00A13E67">
            <w:pPr>
              <w:jc w:val="center"/>
            </w:pPr>
            <w:r>
              <w:t>EQF</w:t>
            </w:r>
            <w:r>
              <w:rPr>
                <w:rStyle w:val="Allmrkuseviide"/>
              </w:rPr>
              <w:footnoteReference w:id="59"/>
            </w:r>
            <w:r>
              <w:t xml:space="preserve"> tase</w:t>
            </w:r>
          </w:p>
        </w:tc>
        <w:tc>
          <w:tcPr>
            <w:tcW w:w="1984" w:type="dxa"/>
          </w:tcPr>
          <w:p w14:paraId="35252A29" w14:textId="77777777" w:rsidR="00B731C3" w:rsidRDefault="00B731C3" w:rsidP="00A13E67">
            <w:r>
              <w:t>Kutse nimetus</w:t>
            </w:r>
          </w:p>
        </w:tc>
        <w:tc>
          <w:tcPr>
            <w:tcW w:w="3969" w:type="dxa"/>
          </w:tcPr>
          <w:p w14:paraId="6DCF37F7" w14:textId="77777777" w:rsidR="00B731C3" w:rsidRDefault="00B731C3" w:rsidP="00A13E67">
            <w:r>
              <w:t xml:space="preserve">Viide kutsestandardile </w:t>
            </w:r>
          </w:p>
        </w:tc>
        <w:tc>
          <w:tcPr>
            <w:tcW w:w="2234" w:type="dxa"/>
          </w:tcPr>
          <w:p w14:paraId="41A2ED1A" w14:textId="77777777" w:rsidR="00B731C3" w:rsidRDefault="00B731C3" w:rsidP="00A13E67">
            <w:r>
              <w:t xml:space="preserve">Kehtivate kutsetunnistuste arv seisuga 30.12.2024 </w:t>
            </w:r>
          </w:p>
        </w:tc>
      </w:tr>
      <w:tr w:rsidR="00B731C3" w14:paraId="4526BBBB" w14:textId="77777777" w:rsidTr="00A13E67">
        <w:tc>
          <w:tcPr>
            <w:tcW w:w="988" w:type="dxa"/>
          </w:tcPr>
          <w:p w14:paraId="0EE2976C" w14:textId="77777777" w:rsidR="00B731C3" w:rsidRDefault="00B731C3" w:rsidP="00A13E67">
            <w:pPr>
              <w:jc w:val="center"/>
            </w:pPr>
            <w:r>
              <w:t>6</w:t>
            </w:r>
          </w:p>
        </w:tc>
        <w:tc>
          <w:tcPr>
            <w:tcW w:w="1984" w:type="dxa"/>
          </w:tcPr>
          <w:p w14:paraId="25D7C7E7" w14:textId="77777777" w:rsidR="00B731C3" w:rsidRDefault="00B731C3" w:rsidP="00A13E67">
            <w:r w:rsidRPr="00E12F65">
              <w:t xml:space="preserve">Energiaaudiitor </w:t>
            </w:r>
          </w:p>
        </w:tc>
        <w:tc>
          <w:tcPr>
            <w:tcW w:w="3969" w:type="dxa"/>
          </w:tcPr>
          <w:p w14:paraId="621CAF33" w14:textId="77777777" w:rsidR="00B731C3" w:rsidRDefault="00B731C3" w:rsidP="00A13E67">
            <w:hyperlink r:id="rId28" w:history="1">
              <w:r w:rsidRPr="00E43DFD">
                <w:rPr>
                  <w:rStyle w:val="Hperlink"/>
                </w:rPr>
                <w:t>https://www.kutseregister.ee/ctrl/et/Standardid/vaata/11250587</w:t>
              </w:r>
            </w:hyperlink>
            <w:r>
              <w:t xml:space="preserve"> </w:t>
            </w:r>
          </w:p>
        </w:tc>
        <w:tc>
          <w:tcPr>
            <w:tcW w:w="2234" w:type="dxa"/>
          </w:tcPr>
          <w:p w14:paraId="017A1FE8" w14:textId="77777777" w:rsidR="00B731C3" w:rsidRDefault="00B731C3" w:rsidP="00A13E67">
            <w:pPr>
              <w:jc w:val="center"/>
            </w:pPr>
            <w:r>
              <w:t>9</w:t>
            </w:r>
          </w:p>
        </w:tc>
      </w:tr>
      <w:tr w:rsidR="00B731C3" w14:paraId="194FF12D" w14:textId="77777777" w:rsidTr="00A13E67">
        <w:trPr>
          <w:trHeight w:val="905"/>
        </w:trPr>
        <w:tc>
          <w:tcPr>
            <w:tcW w:w="988" w:type="dxa"/>
          </w:tcPr>
          <w:p w14:paraId="79FCD477" w14:textId="77777777" w:rsidR="00B731C3" w:rsidRDefault="00B731C3" w:rsidP="00A13E67">
            <w:pPr>
              <w:jc w:val="center"/>
            </w:pPr>
            <w:r>
              <w:t>7</w:t>
            </w:r>
          </w:p>
        </w:tc>
        <w:tc>
          <w:tcPr>
            <w:tcW w:w="1984" w:type="dxa"/>
          </w:tcPr>
          <w:p w14:paraId="736FD53C" w14:textId="77777777" w:rsidR="00B731C3" w:rsidRDefault="00B731C3" w:rsidP="00A13E67">
            <w:r w:rsidRPr="00952E29">
              <w:t>Diplomeeritud energiatõhususe spetsialist</w:t>
            </w:r>
          </w:p>
        </w:tc>
        <w:tc>
          <w:tcPr>
            <w:tcW w:w="3969" w:type="dxa"/>
          </w:tcPr>
          <w:p w14:paraId="24545051" w14:textId="77777777" w:rsidR="00B731C3" w:rsidRDefault="00B731C3" w:rsidP="00A13E67">
            <w:hyperlink r:id="rId29" w:history="1">
              <w:r w:rsidRPr="00E43DFD">
                <w:rPr>
                  <w:rStyle w:val="Hperlink"/>
                </w:rPr>
                <w:t>https://www.kutseregister.ee/ctrl/et/Standardid/vaata/11250787</w:t>
              </w:r>
            </w:hyperlink>
            <w:r>
              <w:t xml:space="preserve"> </w:t>
            </w:r>
          </w:p>
        </w:tc>
        <w:tc>
          <w:tcPr>
            <w:tcW w:w="2234" w:type="dxa"/>
          </w:tcPr>
          <w:p w14:paraId="5199EE18" w14:textId="77777777" w:rsidR="00B731C3" w:rsidRDefault="00B731C3" w:rsidP="00A13E67">
            <w:pPr>
              <w:jc w:val="center"/>
            </w:pPr>
            <w:r>
              <w:t>17</w:t>
            </w:r>
          </w:p>
        </w:tc>
      </w:tr>
      <w:tr w:rsidR="00B731C3" w14:paraId="614153A1" w14:textId="77777777" w:rsidTr="00A13E67">
        <w:tc>
          <w:tcPr>
            <w:tcW w:w="988" w:type="dxa"/>
          </w:tcPr>
          <w:p w14:paraId="2AE418C0" w14:textId="77777777" w:rsidR="00B731C3" w:rsidRDefault="00B731C3" w:rsidP="00A13E67">
            <w:pPr>
              <w:jc w:val="center"/>
            </w:pPr>
            <w:r>
              <w:t>8</w:t>
            </w:r>
          </w:p>
        </w:tc>
        <w:tc>
          <w:tcPr>
            <w:tcW w:w="1984" w:type="dxa"/>
          </w:tcPr>
          <w:p w14:paraId="0B964995" w14:textId="77777777" w:rsidR="00B731C3" w:rsidRDefault="00B731C3" w:rsidP="00A13E67">
            <w:r w:rsidRPr="00952E29">
              <w:t>Volitatud energiatõhususe spetsialist</w:t>
            </w:r>
          </w:p>
        </w:tc>
        <w:tc>
          <w:tcPr>
            <w:tcW w:w="3969" w:type="dxa"/>
          </w:tcPr>
          <w:p w14:paraId="1F9185B7" w14:textId="77777777" w:rsidR="00B731C3" w:rsidRDefault="00B731C3" w:rsidP="00A13E67">
            <w:hyperlink r:id="rId30" w:history="1">
              <w:r w:rsidRPr="00E43DFD">
                <w:rPr>
                  <w:rStyle w:val="Hperlink"/>
                </w:rPr>
                <w:t>https://www.kutseregister.ee/ctrl/et/Standardid/vaata/11250808</w:t>
              </w:r>
            </w:hyperlink>
            <w:r>
              <w:t xml:space="preserve"> </w:t>
            </w:r>
          </w:p>
        </w:tc>
        <w:tc>
          <w:tcPr>
            <w:tcW w:w="2234" w:type="dxa"/>
          </w:tcPr>
          <w:p w14:paraId="2CC373E1" w14:textId="77777777" w:rsidR="00B731C3" w:rsidRDefault="00B731C3" w:rsidP="00A13E67">
            <w:pPr>
              <w:jc w:val="center"/>
            </w:pPr>
            <w:r>
              <w:t>19</w:t>
            </w:r>
          </w:p>
        </w:tc>
      </w:tr>
    </w:tbl>
    <w:p w14:paraId="22323FFA" w14:textId="77777777" w:rsidR="00B731C3" w:rsidRDefault="00B731C3" w:rsidP="00B731C3">
      <w:pPr>
        <w:pStyle w:val="muudetavtekst"/>
        <w:rPr>
          <w:rFonts w:asciiTheme="minorHAnsi" w:hAnsiTheme="minorHAnsi" w:cstheme="minorHAnsi"/>
        </w:rPr>
      </w:pPr>
      <w:r>
        <w:rPr>
          <w:rFonts w:asciiTheme="minorHAnsi" w:hAnsiTheme="minorHAnsi" w:cstheme="minorHAnsi"/>
        </w:rPr>
        <w:t xml:space="preserve"> </w:t>
      </w:r>
    </w:p>
    <w:p w14:paraId="7CCD104A" w14:textId="77777777" w:rsidR="00B731C3" w:rsidRDefault="00B731C3" w:rsidP="00B731C3">
      <w:pPr>
        <w:pStyle w:val="muudetavtekst"/>
        <w:rPr>
          <w:rFonts w:asciiTheme="minorHAnsi" w:hAnsiTheme="minorHAnsi" w:cstheme="minorBidi"/>
        </w:rPr>
      </w:pPr>
      <w:r w:rsidRPr="57490200">
        <w:rPr>
          <w:rFonts w:asciiTheme="minorHAnsi" w:hAnsiTheme="minorHAnsi" w:cstheme="minorBidi"/>
        </w:rPr>
        <w:t>Kokku on isikuid 36, neist üheksal on lisakompetents ettevõtte ressursitõhususe</w:t>
      </w:r>
      <w:r w:rsidRPr="57490200">
        <w:rPr>
          <w:rStyle w:val="Allmrkuseviide"/>
          <w:rFonts w:asciiTheme="minorHAnsi" w:hAnsiTheme="minorHAnsi" w:cstheme="minorBidi"/>
        </w:rPr>
        <w:footnoteReference w:id="60"/>
      </w:r>
      <w:r w:rsidRPr="57490200">
        <w:rPr>
          <w:rFonts w:asciiTheme="minorHAnsi" w:hAnsiTheme="minorHAnsi" w:cstheme="minorBidi"/>
        </w:rPr>
        <w:t xml:space="preserve"> auditeerimiseks.</w:t>
      </w:r>
    </w:p>
    <w:p w14:paraId="61F6E91B" w14:textId="77777777" w:rsidR="00B731C3" w:rsidRDefault="00B731C3" w:rsidP="00B731C3">
      <w:pPr>
        <w:pStyle w:val="muudetavtekst"/>
        <w:rPr>
          <w:rFonts w:asciiTheme="minorHAnsi" w:hAnsiTheme="minorHAnsi" w:cstheme="minorBidi"/>
        </w:rPr>
      </w:pPr>
      <w:r w:rsidRPr="57490200">
        <w:rPr>
          <w:rFonts w:asciiTheme="minorHAnsi" w:hAnsiTheme="minorHAnsi" w:cstheme="minorBidi"/>
        </w:rPr>
        <w:t>Kuna ettevõtete energiaauditite kohustus laieneb ja hakkab põhinema ettevõtte energiatarbimisel (vt. punkt 48), võib pädevate isikute puudus tekitada turutõrget ning tõsta ka energiaauditi hinda.</w:t>
      </w:r>
    </w:p>
    <w:p w14:paraId="5859A552" w14:textId="77777777" w:rsidR="00B731C3" w:rsidRDefault="00B731C3" w:rsidP="00B731C3">
      <w:pPr>
        <w:pStyle w:val="muudetavtekst"/>
        <w:rPr>
          <w:rFonts w:asciiTheme="minorHAnsi" w:hAnsiTheme="minorHAnsi" w:cstheme="minorBidi"/>
        </w:rPr>
      </w:pPr>
      <w:r w:rsidRPr="57490200">
        <w:rPr>
          <w:rFonts w:asciiTheme="minorHAnsi" w:hAnsiTheme="minorHAnsi" w:cstheme="minorBidi"/>
        </w:rPr>
        <w:t>Seetõttu laiendatakse turul osalevate isikute ringi volitatud soojusenergeetikainsener</w:t>
      </w:r>
      <w:r>
        <w:rPr>
          <w:rFonts w:asciiTheme="minorHAnsi" w:hAnsiTheme="minorHAnsi" w:cstheme="minorBidi"/>
        </w:rPr>
        <w:t>idega (</w:t>
      </w:r>
      <w:r w:rsidRPr="57490200">
        <w:rPr>
          <w:rFonts w:asciiTheme="minorHAnsi" w:hAnsiTheme="minorHAnsi" w:cstheme="minorBidi"/>
        </w:rPr>
        <w:t>8</w:t>
      </w:r>
      <w:r>
        <w:rPr>
          <w:rFonts w:asciiTheme="minorHAnsi" w:hAnsiTheme="minorHAnsi" w:cstheme="minorBidi"/>
        </w:rPr>
        <w:t>. tase,</w:t>
      </w:r>
      <w:r w:rsidRPr="57490200">
        <w:rPr>
          <w:rFonts w:asciiTheme="minorHAnsi" w:hAnsiTheme="minorHAnsi" w:cstheme="minorBidi"/>
        </w:rPr>
        <w:t xml:space="preserve"> spetsialiseeru</w:t>
      </w:r>
      <w:r>
        <w:rPr>
          <w:rFonts w:asciiTheme="minorHAnsi" w:hAnsiTheme="minorHAnsi" w:cstheme="minorBidi"/>
        </w:rPr>
        <w:t>mine</w:t>
      </w:r>
      <w:r w:rsidRPr="57490200">
        <w:rPr>
          <w:rFonts w:asciiTheme="minorHAnsi" w:hAnsiTheme="minorHAnsi" w:cstheme="minorBidi"/>
        </w:rPr>
        <w:t xml:space="preserve"> soojusmajandusele</w:t>
      </w:r>
      <w:r>
        <w:rPr>
          <w:rFonts w:asciiTheme="minorHAnsi" w:hAnsiTheme="minorHAnsi" w:cstheme="minorBidi"/>
        </w:rPr>
        <w:t>)</w:t>
      </w:r>
      <w:r w:rsidRPr="57490200">
        <w:rPr>
          <w:rFonts w:asciiTheme="minorHAnsi" w:hAnsiTheme="minorHAnsi" w:cstheme="minorBidi"/>
        </w:rPr>
        <w:t xml:space="preserve">. Soojusmajanduse arendamise alla kuulub </w:t>
      </w:r>
      <w:r w:rsidRPr="57490200">
        <w:rPr>
          <w:rFonts w:asciiTheme="minorHAnsi" w:hAnsiTheme="minorHAnsi" w:cstheme="minorBidi"/>
        </w:rPr>
        <w:lastRenderedPageBreak/>
        <w:t>ettevõtete ja kohalike omavalitsuste energiamajanduse korraldamine, arengukavade koostamine ning ettevõtete energia- ja ressursiauditid</w:t>
      </w:r>
      <w:r w:rsidRPr="57490200">
        <w:rPr>
          <w:rStyle w:val="Allmrkuseviide"/>
          <w:rFonts w:asciiTheme="minorHAnsi" w:hAnsiTheme="minorHAnsi" w:cstheme="minorBidi"/>
        </w:rPr>
        <w:footnoteReference w:id="61"/>
      </w:r>
      <w:r w:rsidRPr="57490200">
        <w:rPr>
          <w:rFonts w:asciiTheme="minorHAnsi" w:hAnsiTheme="minorHAnsi" w:cstheme="minorBidi"/>
        </w:rPr>
        <w:t xml:space="preserve">. </w:t>
      </w:r>
      <w:r>
        <w:rPr>
          <w:rFonts w:asciiTheme="minorHAnsi" w:hAnsiTheme="minorHAnsi" w:cstheme="minorBidi"/>
        </w:rPr>
        <w:t>Praegu</w:t>
      </w:r>
      <w:r w:rsidRPr="57490200">
        <w:rPr>
          <w:rFonts w:asciiTheme="minorHAnsi" w:hAnsiTheme="minorHAnsi" w:cstheme="minorBidi"/>
        </w:rPr>
        <w:t xml:space="preserve"> on selle kutsetunnistuse</w:t>
      </w:r>
      <w:r>
        <w:rPr>
          <w:rFonts w:asciiTheme="minorHAnsi" w:hAnsiTheme="minorHAnsi" w:cstheme="minorBidi"/>
        </w:rPr>
        <w:t>ga pädevaid insenere</w:t>
      </w:r>
      <w:r w:rsidRPr="57490200">
        <w:rPr>
          <w:rFonts w:asciiTheme="minorHAnsi" w:hAnsiTheme="minorHAnsi" w:cstheme="minorBidi"/>
        </w:rPr>
        <w:t xml:space="preserve"> 16.</w:t>
      </w:r>
    </w:p>
    <w:p w14:paraId="022825F1" w14:textId="77777777" w:rsidR="00B731C3" w:rsidRDefault="00B731C3" w:rsidP="00B731C3">
      <w:pPr>
        <w:pStyle w:val="muudetavtekst"/>
        <w:rPr>
          <w:rFonts w:asciiTheme="minorHAnsi" w:hAnsiTheme="minorHAnsi" w:cstheme="minorHAnsi"/>
        </w:rPr>
      </w:pPr>
    </w:p>
    <w:p w14:paraId="59443849" w14:textId="77777777" w:rsidR="00B731C3" w:rsidRDefault="00B731C3" w:rsidP="00B731C3">
      <w:pPr>
        <w:pStyle w:val="muudetavtekst"/>
        <w:rPr>
          <w:rFonts w:asciiTheme="minorHAnsi" w:hAnsiTheme="minorHAnsi" w:cstheme="minorBidi"/>
        </w:rPr>
      </w:pPr>
      <w:r w:rsidRPr="008A0ABA">
        <w:rPr>
          <w:rFonts w:asciiTheme="minorHAnsi" w:hAnsiTheme="minorHAnsi" w:cstheme="minorBidi"/>
          <w:b/>
          <w:bCs/>
        </w:rPr>
        <w:t>Punktiga 44</w:t>
      </w:r>
      <w:r w:rsidRPr="004034F5">
        <w:rPr>
          <w:rFonts w:asciiTheme="minorHAnsi" w:hAnsiTheme="minorHAnsi" w:cstheme="minorBidi"/>
        </w:rPr>
        <w:t xml:space="preserve"> täien</w:t>
      </w:r>
      <w:r w:rsidRPr="008A0ABA">
        <w:rPr>
          <w:rFonts w:asciiTheme="minorHAnsi" w:hAnsiTheme="minorHAnsi" w:cstheme="minorBidi"/>
        </w:rPr>
        <w:t>datakse</w:t>
      </w:r>
      <w:r w:rsidRPr="57490200">
        <w:rPr>
          <w:rFonts w:asciiTheme="minorHAnsi" w:hAnsiTheme="minorHAnsi" w:cstheme="minorBidi"/>
        </w:rPr>
        <w:t xml:space="preserve"> EnKS</w:t>
      </w:r>
      <w:r>
        <w:rPr>
          <w:rFonts w:asciiTheme="minorHAnsi" w:hAnsiTheme="minorHAnsi" w:cstheme="minorBidi"/>
        </w:rPr>
        <w:t>i</w:t>
      </w:r>
      <w:r w:rsidRPr="57490200">
        <w:rPr>
          <w:rFonts w:asciiTheme="minorHAnsi" w:hAnsiTheme="minorHAnsi" w:cstheme="minorBidi"/>
        </w:rPr>
        <w:t xml:space="preserve"> </w:t>
      </w:r>
      <w:r w:rsidRPr="51248E01">
        <w:rPr>
          <w:rFonts w:asciiTheme="minorHAnsi" w:hAnsiTheme="minorHAnsi" w:cstheme="minorBidi"/>
        </w:rPr>
        <w:t>§</w:t>
      </w:r>
      <w:r w:rsidRPr="57490200">
        <w:rPr>
          <w:rFonts w:asciiTheme="minorHAnsi" w:hAnsiTheme="minorHAnsi" w:cstheme="minorBidi"/>
        </w:rPr>
        <w:t xml:space="preserve"> 27 lõikega 2</w:t>
      </w:r>
      <w:r w:rsidRPr="57490200">
        <w:rPr>
          <w:rFonts w:asciiTheme="minorHAnsi" w:hAnsiTheme="minorHAnsi" w:cstheme="minorBidi"/>
          <w:vertAlign w:val="superscript"/>
        </w:rPr>
        <w:t>1</w:t>
      </w:r>
      <w:r>
        <w:rPr>
          <w:rFonts w:asciiTheme="minorHAnsi" w:hAnsiTheme="minorHAnsi" w:cstheme="minorBidi"/>
        </w:rPr>
        <w:t xml:space="preserve"> ehk seatakse volitusnorm, et</w:t>
      </w:r>
      <w:r w:rsidRPr="57490200">
        <w:rPr>
          <w:rFonts w:asciiTheme="minorHAnsi" w:hAnsiTheme="minorHAnsi" w:cstheme="minorBidi"/>
        </w:rPr>
        <w:t xml:space="preserve"> täpsustada kutsevaldkondade pädevus ja ettevõtlus</w:t>
      </w:r>
      <w:r>
        <w:rPr>
          <w:rFonts w:asciiTheme="minorHAnsi" w:hAnsiTheme="minorHAnsi" w:cstheme="minorBidi"/>
        </w:rPr>
        <w:t>valdkonnad</w:t>
      </w:r>
      <w:r w:rsidRPr="57490200">
        <w:rPr>
          <w:rFonts w:asciiTheme="minorHAnsi" w:hAnsiTheme="minorHAnsi" w:cstheme="minorBidi"/>
        </w:rPr>
        <w:t xml:space="preserve">. </w:t>
      </w:r>
      <w:r>
        <w:rPr>
          <w:rFonts w:asciiTheme="minorHAnsi" w:hAnsiTheme="minorHAnsi" w:cstheme="minorBidi"/>
        </w:rPr>
        <w:t xml:space="preserve">Kui punktiga 47 </w:t>
      </w:r>
      <w:r w:rsidRPr="57490200">
        <w:rPr>
          <w:rFonts w:asciiTheme="minorHAnsi" w:hAnsiTheme="minorHAnsi" w:cstheme="minorBidi"/>
        </w:rPr>
        <w:t>laiendati pädevate isikute ringi</w:t>
      </w:r>
      <w:r>
        <w:rPr>
          <w:rFonts w:asciiTheme="minorHAnsi" w:hAnsiTheme="minorHAnsi" w:cstheme="minorBidi"/>
        </w:rPr>
        <w:t xml:space="preserve"> soojusinseneridega</w:t>
      </w:r>
      <w:r w:rsidRPr="57490200">
        <w:rPr>
          <w:rFonts w:asciiTheme="minorHAnsi" w:hAnsiTheme="minorHAnsi" w:cstheme="minorBidi"/>
        </w:rPr>
        <w:t xml:space="preserve">, </w:t>
      </w:r>
      <w:r>
        <w:rPr>
          <w:rFonts w:asciiTheme="minorHAnsi" w:hAnsiTheme="minorHAnsi" w:cstheme="minorBidi"/>
        </w:rPr>
        <w:t xml:space="preserve">punktiga 48 täpsustatakse </w:t>
      </w:r>
      <w:r w:rsidRPr="57490200">
        <w:rPr>
          <w:rFonts w:asciiTheme="minorHAnsi" w:hAnsiTheme="minorHAnsi" w:cstheme="minorBidi"/>
        </w:rPr>
        <w:t>ettevõtlus</w:t>
      </w:r>
      <w:r>
        <w:rPr>
          <w:rFonts w:asciiTheme="minorHAnsi" w:hAnsiTheme="minorHAnsi" w:cstheme="minorBidi"/>
        </w:rPr>
        <w:t xml:space="preserve">valdkonnad, </w:t>
      </w:r>
      <w:r w:rsidRPr="57490200">
        <w:rPr>
          <w:rFonts w:asciiTheme="minorHAnsi" w:hAnsiTheme="minorHAnsi" w:cstheme="minorBidi"/>
        </w:rPr>
        <w:t>kus üks või teine kutsevaldkond</w:t>
      </w:r>
      <w:r>
        <w:rPr>
          <w:rFonts w:asciiTheme="minorHAnsi" w:hAnsiTheme="minorHAnsi" w:cstheme="minorBidi"/>
        </w:rPr>
        <w:t xml:space="preserve"> (energiaaudiitor ja/või soojusinsener)</w:t>
      </w:r>
      <w:r w:rsidRPr="57490200">
        <w:rPr>
          <w:rFonts w:asciiTheme="minorHAnsi" w:hAnsiTheme="minorHAnsi" w:cstheme="minorBidi"/>
        </w:rPr>
        <w:t xml:space="preserve"> saab tegutseda. Eelkõige </w:t>
      </w:r>
      <w:r>
        <w:rPr>
          <w:rFonts w:asciiTheme="minorHAnsi" w:hAnsiTheme="minorHAnsi" w:cstheme="minorBidi"/>
        </w:rPr>
        <w:t>puudutab</w:t>
      </w:r>
      <w:r w:rsidRPr="57490200">
        <w:rPr>
          <w:rFonts w:asciiTheme="minorHAnsi" w:hAnsiTheme="minorHAnsi" w:cstheme="minorBidi"/>
        </w:rPr>
        <w:t xml:space="preserve"> säte soojustehnika inseneri, kelle pädevusvaldkonda ei kuulu hoonete tehnosüsteemid (kutsestandard</w:t>
      </w:r>
      <w:r w:rsidRPr="57490200">
        <w:rPr>
          <w:rFonts w:asciiTheme="minorHAnsi" w:hAnsiTheme="minorHAnsi" w:cstheme="minorBidi"/>
          <w:vertAlign w:val="superscript"/>
        </w:rPr>
        <w:t>20</w:t>
      </w:r>
      <w:r w:rsidRPr="57490200">
        <w:rPr>
          <w:rFonts w:asciiTheme="minorHAnsi" w:hAnsiTheme="minorHAnsi" w:cstheme="minorBidi"/>
        </w:rPr>
        <w:t xml:space="preserve"> punkt A.1</w:t>
      </w:r>
      <w:r>
        <w:rPr>
          <w:rFonts w:asciiTheme="minorHAnsi" w:hAnsiTheme="minorHAnsi" w:cstheme="minorBidi"/>
        </w:rPr>
        <w:t>:</w:t>
      </w:r>
      <w:r w:rsidRPr="57490200">
        <w:rPr>
          <w:rFonts w:asciiTheme="minorHAnsi" w:hAnsiTheme="minorHAnsi" w:cstheme="minorBidi"/>
        </w:rPr>
        <w:t xml:space="preserve"> </w:t>
      </w:r>
      <w:r>
        <w:rPr>
          <w:rFonts w:asciiTheme="minorHAnsi" w:hAnsiTheme="minorHAnsi" w:cstheme="minorBidi"/>
        </w:rPr>
        <w:t>s</w:t>
      </w:r>
      <w:r w:rsidRPr="57490200">
        <w:rPr>
          <w:rFonts w:asciiTheme="minorHAnsi" w:hAnsiTheme="minorHAnsi" w:cstheme="minorBidi"/>
        </w:rPr>
        <w:t>oojusallikate ja soojuskeskuste alla kuuluvad kohalikud katelseadmed, soojuspumbad, päikesepaneelid ja soojussõlmed. Siia ei kuulu radiaatori-, õhk- ja põrandaküttesüsteemid, soojaveevarustussüsteemid, olmeventilatsioonisüsteemid, õhu</w:t>
      </w:r>
      <w:r>
        <w:rPr>
          <w:rFonts w:asciiTheme="minorHAnsi" w:hAnsiTheme="minorHAnsi" w:cstheme="minorBidi"/>
        </w:rPr>
        <w:t xml:space="preserve"> </w:t>
      </w:r>
      <w:r w:rsidRPr="57490200">
        <w:rPr>
          <w:rFonts w:asciiTheme="minorHAnsi" w:hAnsiTheme="minorHAnsi" w:cstheme="minorBidi"/>
        </w:rPr>
        <w:t>konditsioneerimis</w:t>
      </w:r>
      <w:r>
        <w:rPr>
          <w:rFonts w:asciiTheme="minorHAnsi" w:hAnsiTheme="minorHAnsi" w:cstheme="minorBidi"/>
        </w:rPr>
        <w:t xml:space="preserve">e </w:t>
      </w:r>
      <w:r w:rsidRPr="57490200">
        <w:rPr>
          <w:rFonts w:asciiTheme="minorHAnsi" w:hAnsiTheme="minorHAnsi" w:cstheme="minorBidi"/>
        </w:rPr>
        <w:t>süsteemid ja müra</w:t>
      </w:r>
      <w:r>
        <w:rPr>
          <w:rFonts w:asciiTheme="minorHAnsi" w:hAnsiTheme="minorHAnsi" w:cstheme="minorBidi"/>
        </w:rPr>
        <w:t xml:space="preserve"> </w:t>
      </w:r>
      <w:r w:rsidRPr="57490200">
        <w:rPr>
          <w:rFonts w:asciiTheme="minorHAnsi" w:hAnsiTheme="minorHAnsi" w:cstheme="minorBidi"/>
        </w:rPr>
        <w:t>summutavad süsteemid), mistõttu nad kinnisvara sektori</w:t>
      </w:r>
      <w:r>
        <w:rPr>
          <w:rFonts w:asciiTheme="minorHAnsi" w:hAnsiTheme="minorHAnsi" w:cstheme="minorBidi"/>
        </w:rPr>
        <w:t>sse</w:t>
      </w:r>
      <w:r w:rsidRPr="57490200">
        <w:rPr>
          <w:rFonts w:asciiTheme="minorHAnsi" w:hAnsiTheme="minorHAnsi" w:cstheme="minorBidi"/>
        </w:rPr>
        <w:t xml:space="preserve"> ei sobitu. Pigem jääb neile tööstussektor. </w:t>
      </w:r>
      <w:r>
        <w:rPr>
          <w:rFonts w:asciiTheme="minorHAnsi" w:hAnsiTheme="minorHAnsi" w:cstheme="minorBidi"/>
        </w:rPr>
        <w:t>Muudetakse</w:t>
      </w:r>
      <w:r w:rsidRPr="57490200">
        <w:rPr>
          <w:rFonts w:asciiTheme="minorHAnsi" w:hAnsiTheme="minorHAnsi" w:cstheme="minorBidi"/>
        </w:rPr>
        <w:t xml:space="preserve"> majandus ja taristuministri määrus</w:t>
      </w:r>
      <w:r>
        <w:rPr>
          <w:rFonts w:asciiTheme="minorHAnsi" w:hAnsiTheme="minorHAnsi" w:cstheme="minorBidi"/>
        </w:rPr>
        <w:t>t</w:t>
      </w:r>
      <w:r w:rsidRPr="57490200">
        <w:rPr>
          <w:rFonts w:asciiTheme="minorHAnsi" w:hAnsiTheme="minorHAnsi" w:cstheme="minorBidi"/>
        </w:rPr>
        <w:t xml:space="preserve"> 76 „Energiaauditi miinim</w:t>
      </w:r>
      <w:r>
        <w:rPr>
          <w:rFonts w:asciiTheme="minorHAnsi" w:hAnsiTheme="minorHAnsi" w:cstheme="minorBidi"/>
        </w:rPr>
        <w:t>u</w:t>
      </w:r>
      <w:r w:rsidRPr="57490200">
        <w:rPr>
          <w:rFonts w:asciiTheme="minorHAnsi" w:hAnsiTheme="minorHAnsi" w:cstheme="minorBidi"/>
        </w:rPr>
        <w:t>mnõuded“</w:t>
      </w:r>
      <w:r w:rsidRPr="57490200">
        <w:rPr>
          <w:rStyle w:val="Allmrkuseviide"/>
          <w:rFonts w:asciiTheme="minorHAnsi" w:hAnsiTheme="minorHAnsi" w:cstheme="minorBidi"/>
        </w:rPr>
        <w:footnoteReference w:id="62"/>
      </w:r>
      <w:r w:rsidRPr="57490200">
        <w:rPr>
          <w:rFonts w:asciiTheme="minorHAnsi" w:hAnsiTheme="minorHAnsi" w:cstheme="minorBidi"/>
        </w:rPr>
        <w:t>.</w:t>
      </w:r>
    </w:p>
    <w:p w14:paraId="29302908" w14:textId="77777777" w:rsidR="00B731C3" w:rsidRDefault="00B731C3" w:rsidP="00B731C3">
      <w:pPr>
        <w:pStyle w:val="muudetavtekst"/>
        <w:rPr>
          <w:rFonts w:asciiTheme="minorHAnsi" w:hAnsiTheme="minorHAnsi" w:cstheme="minorHAnsi"/>
        </w:rPr>
      </w:pPr>
    </w:p>
    <w:p w14:paraId="37A2E096" w14:textId="77777777" w:rsidR="00B731C3" w:rsidRDefault="00B731C3" w:rsidP="00B731C3">
      <w:pPr>
        <w:pStyle w:val="muudetavtekst"/>
        <w:rPr>
          <w:rFonts w:asciiTheme="minorHAnsi" w:hAnsiTheme="minorHAnsi" w:cstheme="minorBidi"/>
        </w:rPr>
      </w:pPr>
      <w:r w:rsidRPr="57490200">
        <w:rPr>
          <w:rFonts w:asciiTheme="minorHAnsi" w:hAnsiTheme="minorHAnsi" w:cstheme="minorBidi"/>
          <w:b/>
          <w:bCs/>
        </w:rPr>
        <w:t xml:space="preserve">Punktiga </w:t>
      </w:r>
      <w:r>
        <w:rPr>
          <w:rFonts w:asciiTheme="minorHAnsi" w:hAnsiTheme="minorHAnsi" w:cstheme="minorBidi"/>
          <w:b/>
          <w:bCs/>
        </w:rPr>
        <w:t>45</w:t>
      </w:r>
      <w:r w:rsidRPr="57490200">
        <w:rPr>
          <w:rFonts w:asciiTheme="minorHAnsi" w:hAnsiTheme="minorHAnsi" w:cstheme="minorBidi"/>
        </w:rPr>
        <w:t xml:space="preserve"> täiendatakse EnKS</w:t>
      </w:r>
      <w:r>
        <w:rPr>
          <w:rFonts w:asciiTheme="minorHAnsi" w:hAnsiTheme="minorHAnsi" w:cstheme="minorBidi"/>
        </w:rPr>
        <w:t>i</w:t>
      </w:r>
      <w:r w:rsidRPr="57490200">
        <w:rPr>
          <w:rFonts w:asciiTheme="minorHAnsi" w:hAnsiTheme="minorHAnsi" w:cstheme="minorBidi"/>
        </w:rPr>
        <w:t xml:space="preserve"> </w:t>
      </w:r>
      <w:r w:rsidRPr="51248E01">
        <w:rPr>
          <w:rFonts w:asciiTheme="minorHAnsi" w:hAnsiTheme="minorHAnsi" w:cstheme="minorBidi"/>
        </w:rPr>
        <w:t>§</w:t>
      </w:r>
      <w:r w:rsidRPr="57490200">
        <w:rPr>
          <w:rFonts w:asciiTheme="minorHAnsi" w:hAnsiTheme="minorHAnsi" w:cstheme="minorBidi"/>
        </w:rPr>
        <w:t xml:space="preserve"> 27 lõiget 5, et täpsustada majandus</w:t>
      </w:r>
      <w:r>
        <w:rPr>
          <w:rFonts w:asciiTheme="minorHAnsi" w:hAnsiTheme="minorHAnsi" w:cstheme="minorBidi"/>
        </w:rPr>
        <w:t>-</w:t>
      </w:r>
      <w:r w:rsidRPr="57490200">
        <w:rPr>
          <w:rFonts w:asciiTheme="minorHAnsi" w:hAnsiTheme="minorHAnsi" w:cstheme="minorBidi"/>
        </w:rPr>
        <w:t xml:space="preserve"> ja taristuministri määruses 76 „Energiaauditi miinimumnõded“</w:t>
      </w:r>
      <w:r w:rsidRPr="57490200">
        <w:rPr>
          <w:rFonts w:asciiTheme="minorHAnsi" w:hAnsiTheme="minorHAnsi" w:cstheme="minorBidi"/>
          <w:vertAlign w:val="superscript"/>
        </w:rPr>
        <w:t>21</w:t>
      </w:r>
      <w:r w:rsidRPr="57490200">
        <w:rPr>
          <w:rFonts w:asciiTheme="minorHAnsi" w:hAnsiTheme="minorHAnsi" w:cstheme="minorBidi"/>
        </w:rPr>
        <w:t xml:space="preserve">, </w:t>
      </w:r>
      <w:r>
        <w:rPr>
          <w:rFonts w:asciiTheme="minorHAnsi" w:hAnsiTheme="minorHAnsi" w:cstheme="minorBidi"/>
        </w:rPr>
        <w:t>kui põhjalikult</w:t>
      </w:r>
      <w:r w:rsidRPr="57490200">
        <w:rPr>
          <w:rFonts w:asciiTheme="minorHAnsi" w:hAnsiTheme="minorHAnsi" w:cstheme="minorBidi"/>
        </w:rPr>
        <w:t xml:space="preserve"> tuleb ettevõtetel esitada energiatõhususe andmed ja tegevuskava ettevõtte majandusaruannetes. Kliimaministeerium </w:t>
      </w:r>
      <w:r>
        <w:rPr>
          <w:rFonts w:asciiTheme="minorHAnsi" w:hAnsiTheme="minorHAnsi" w:cstheme="minorBidi"/>
        </w:rPr>
        <w:t xml:space="preserve">teeb </w:t>
      </w:r>
      <w:r w:rsidRPr="57490200">
        <w:rPr>
          <w:rFonts w:asciiTheme="minorHAnsi" w:hAnsiTheme="minorHAnsi" w:cstheme="minorBidi"/>
        </w:rPr>
        <w:t>aktiivset koostööd osa</w:t>
      </w:r>
      <w:r>
        <w:rPr>
          <w:rFonts w:asciiTheme="minorHAnsi" w:hAnsiTheme="minorHAnsi" w:cstheme="minorBidi"/>
        </w:rPr>
        <w:t>listega</w:t>
      </w:r>
      <w:r w:rsidRPr="57490200">
        <w:rPr>
          <w:rFonts w:asciiTheme="minorHAnsi" w:hAnsiTheme="minorHAnsi" w:cstheme="minorBidi"/>
        </w:rPr>
        <w:t>, s</w:t>
      </w:r>
      <w:r>
        <w:rPr>
          <w:rFonts w:asciiTheme="minorHAnsi" w:hAnsiTheme="minorHAnsi" w:cstheme="minorBidi"/>
        </w:rPr>
        <w:t>h</w:t>
      </w:r>
      <w:r w:rsidRPr="57490200">
        <w:rPr>
          <w:rFonts w:asciiTheme="minorHAnsi" w:hAnsiTheme="minorHAnsi" w:cstheme="minorBidi"/>
        </w:rPr>
        <w:t xml:space="preserve"> Majandus- ja </w:t>
      </w:r>
      <w:r>
        <w:rPr>
          <w:rFonts w:asciiTheme="minorHAnsi" w:hAnsiTheme="minorHAnsi" w:cstheme="minorBidi"/>
        </w:rPr>
        <w:t>K</w:t>
      </w:r>
      <w:r w:rsidRPr="57490200">
        <w:rPr>
          <w:rFonts w:asciiTheme="minorHAnsi" w:hAnsiTheme="minorHAnsi" w:cstheme="minorBidi"/>
        </w:rPr>
        <w:t>ommunikatsiooniministeeriumi reaalaja majanduse valdkonnaga ja Rahandusministeeriumi kestlikkuse aruandluse arendustega, et lihtsa</w:t>
      </w:r>
      <w:r>
        <w:rPr>
          <w:rFonts w:asciiTheme="minorHAnsi" w:hAnsiTheme="minorHAnsi" w:cstheme="minorBidi"/>
        </w:rPr>
        <w:t>mini</w:t>
      </w:r>
      <w:r w:rsidRPr="57490200">
        <w:rPr>
          <w:rFonts w:asciiTheme="minorHAnsi" w:hAnsiTheme="minorHAnsi" w:cstheme="minorBidi"/>
        </w:rPr>
        <w:t xml:space="preserve"> ja ühtselt kajastada</w:t>
      </w:r>
      <w:r>
        <w:rPr>
          <w:rFonts w:asciiTheme="minorHAnsi" w:hAnsiTheme="minorHAnsi" w:cstheme="minorBidi"/>
        </w:rPr>
        <w:t xml:space="preserve"> </w:t>
      </w:r>
      <w:r w:rsidRPr="57490200">
        <w:rPr>
          <w:rFonts w:asciiTheme="minorHAnsi" w:hAnsiTheme="minorHAnsi" w:cstheme="minorBidi"/>
        </w:rPr>
        <w:t>andmevorme, mida kuvatakse majandusaasta aruannetes.</w:t>
      </w:r>
      <w:r>
        <w:rPr>
          <w:rFonts w:asciiTheme="minorHAnsi" w:hAnsiTheme="minorHAnsi" w:cstheme="minorBidi"/>
        </w:rPr>
        <w:t xml:space="preserve"> Võetakse üle direktiivi artikkel 12 lõike 2 kolmas lõik. </w:t>
      </w:r>
    </w:p>
    <w:p w14:paraId="7E8EBBAC" w14:textId="77777777" w:rsidR="00B731C3" w:rsidRDefault="00B731C3" w:rsidP="00B731C3">
      <w:pPr>
        <w:pStyle w:val="muudetavtekst"/>
        <w:rPr>
          <w:rFonts w:asciiTheme="minorHAnsi" w:hAnsiTheme="minorHAnsi" w:cstheme="minorHAnsi"/>
        </w:rPr>
      </w:pPr>
    </w:p>
    <w:p w14:paraId="44C2A5E0" w14:textId="77777777" w:rsidR="00B731C3" w:rsidRDefault="00B731C3" w:rsidP="00B731C3">
      <w:pPr>
        <w:pStyle w:val="muudetavtekst"/>
        <w:rPr>
          <w:rFonts w:asciiTheme="minorHAnsi" w:hAnsiTheme="minorHAnsi" w:cstheme="minorBidi"/>
        </w:rPr>
      </w:pPr>
      <w:r w:rsidRPr="57490200">
        <w:rPr>
          <w:rFonts w:asciiTheme="minorHAnsi" w:hAnsiTheme="minorHAnsi" w:cstheme="minorBidi"/>
          <w:b/>
          <w:bCs/>
        </w:rPr>
        <w:t xml:space="preserve">Punktiga </w:t>
      </w:r>
      <w:r>
        <w:rPr>
          <w:rFonts w:asciiTheme="minorHAnsi" w:hAnsiTheme="minorHAnsi" w:cstheme="minorBidi"/>
          <w:b/>
          <w:bCs/>
        </w:rPr>
        <w:t>46</w:t>
      </w:r>
      <w:r w:rsidRPr="57490200">
        <w:rPr>
          <w:rFonts w:asciiTheme="minorHAnsi" w:hAnsiTheme="minorHAnsi" w:cstheme="minorBidi"/>
        </w:rPr>
        <w:t xml:space="preserve"> muudetakse </w:t>
      </w:r>
      <w:r w:rsidRPr="51248E01">
        <w:rPr>
          <w:rFonts w:asciiTheme="minorHAnsi" w:hAnsiTheme="minorHAnsi" w:cstheme="minorBidi"/>
        </w:rPr>
        <w:t>§</w:t>
      </w:r>
      <w:r>
        <w:rPr>
          <w:rFonts w:asciiTheme="minorHAnsi" w:hAnsiTheme="minorHAnsi" w:cstheme="minorBidi"/>
        </w:rPr>
        <w:t xml:space="preserve"> </w:t>
      </w:r>
      <w:r w:rsidRPr="57490200">
        <w:rPr>
          <w:rFonts w:asciiTheme="minorHAnsi" w:hAnsiTheme="minorHAnsi" w:cstheme="minorBidi"/>
        </w:rPr>
        <w:t xml:space="preserve">28 </w:t>
      </w:r>
      <w:r>
        <w:rPr>
          <w:rFonts w:asciiTheme="minorHAnsi" w:hAnsiTheme="minorHAnsi" w:cstheme="minorBidi"/>
        </w:rPr>
        <w:t xml:space="preserve">pealkiri ja </w:t>
      </w:r>
      <w:r w:rsidRPr="57490200">
        <w:rPr>
          <w:rFonts w:asciiTheme="minorHAnsi" w:hAnsiTheme="minorHAnsi" w:cstheme="minorBidi"/>
        </w:rPr>
        <w:t>lõige 1</w:t>
      </w:r>
      <w:r>
        <w:rPr>
          <w:rFonts w:asciiTheme="minorHAnsi" w:hAnsiTheme="minorHAnsi" w:cstheme="minorBidi"/>
        </w:rPr>
        <w:t xml:space="preserve">, millega võetakse üle direktiivi artikkel 12 lõiked 1 ja 2. Uus pealkiri on „Ettevõtete kohustus teha regulaarselt energiauditeid.“ </w:t>
      </w:r>
    </w:p>
    <w:p w14:paraId="7A626DE5" w14:textId="77777777" w:rsidR="00B731C3" w:rsidRDefault="00B731C3" w:rsidP="00B731C3">
      <w:pPr>
        <w:pStyle w:val="muudetavtekst"/>
        <w:rPr>
          <w:rFonts w:asciiTheme="minorHAnsi" w:hAnsiTheme="minorHAnsi" w:cstheme="minorBidi"/>
        </w:rPr>
      </w:pPr>
      <w:r>
        <w:rPr>
          <w:rFonts w:asciiTheme="minorHAnsi" w:hAnsiTheme="minorHAnsi" w:cstheme="minorBidi"/>
        </w:rPr>
        <w:t>Lõikega 1 sätestatakse  ettevõtte kohustus koostada energiaaudit või rakendada energiajuhtimissüsteem, vastavalt järgmistele punktidele:</w:t>
      </w:r>
    </w:p>
    <w:p w14:paraId="2D1EDD22" w14:textId="77777777" w:rsidR="00B731C3" w:rsidRPr="006C0AD2" w:rsidRDefault="00B731C3" w:rsidP="00B731C3">
      <w:pPr>
        <w:pStyle w:val="muudetavtekst"/>
        <w:rPr>
          <w:rFonts w:asciiTheme="minorHAnsi" w:hAnsiTheme="minorHAnsi" w:cstheme="minorBidi"/>
        </w:rPr>
      </w:pPr>
      <w:r>
        <w:rPr>
          <w:rFonts w:asciiTheme="minorHAnsi" w:hAnsiTheme="minorHAnsi" w:cstheme="minorBidi"/>
        </w:rPr>
        <w:t xml:space="preserve">Punktiga 1, kui ettevõtte </w:t>
      </w:r>
      <w:bookmarkStart w:id="6" w:name="_Hlk202274277"/>
      <w:r w:rsidRPr="006C0AD2">
        <w:rPr>
          <w:rFonts w:asciiTheme="minorHAnsi" w:hAnsiTheme="minorHAnsi" w:cstheme="minorBidi"/>
        </w:rPr>
        <w:t xml:space="preserve">viimase kolme aasta keskmine aastane energiatarbimine kõigi energiakandjate summana on olnud suurem kui </w:t>
      </w:r>
      <w:bookmarkEnd w:id="6"/>
      <w:r w:rsidRPr="006C0AD2">
        <w:rPr>
          <w:rFonts w:asciiTheme="minorHAnsi" w:hAnsiTheme="minorHAnsi" w:cstheme="minorBidi"/>
        </w:rPr>
        <w:t>10 TJ, peab tegema iga nelja aasta tagant käesoleva seaduse § 27 lõikes 1 sätestatud energiaauditi;</w:t>
      </w:r>
    </w:p>
    <w:p w14:paraId="14162D68" w14:textId="77777777" w:rsidR="00B731C3" w:rsidRPr="006C0AD2" w:rsidRDefault="00B731C3" w:rsidP="00B731C3">
      <w:pPr>
        <w:pStyle w:val="muudetavtekst"/>
        <w:rPr>
          <w:rFonts w:asciiTheme="minorHAnsi" w:hAnsiTheme="minorHAnsi" w:cstheme="minorBidi"/>
        </w:rPr>
      </w:pPr>
      <w:r w:rsidRPr="006C0AD2">
        <w:rPr>
          <w:rFonts w:asciiTheme="minorHAnsi" w:hAnsiTheme="minorHAnsi" w:cstheme="minorBidi"/>
        </w:rPr>
        <w:t>Punktiga 2</w:t>
      </w:r>
      <w:r>
        <w:rPr>
          <w:rFonts w:asciiTheme="minorHAnsi" w:hAnsiTheme="minorHAnsi" w:cstheme="minorBidi"/>
        </w:rPr>
        <w:t>,</w:t>
      </w:r>
      <w:r w:rsidRPr="006C0AD2">
        <w:rPr>
          <w:rFonts w:asciiTheme="minorHAnsi" w:hAnsiTheme="minorHAnsi" w:cstheme="minorBidi"/>
        </w:rPr>
        <w:t xml:space="preserve">  kui </w:t>
      </w:r>
      <w:r>
        <w:rPr>
          <w:rFonts w:asciiTheme="minorHAnsi" w:hAnsiTheme="minorHAnsi" w:cstheme="minorBidi"/>
        </w:rPr>
        <w:t xml:space="preserve">ettevõtte </w:t>
      </w:r>
      <w:r w:rsidRPr="002E159C">
        <w:rPr>
          <w:rFonts w:asciiTheme="minorHAnsi" w:hAnsiTheme="minorHAnsi" w:cstheme="minorBidi"/>
        </w:rPr>
        <w:t>viimase kolme aasta keskmine aastane energiatarbimine kõigi energiakandjate summana on olnud suurem kui</w:t>
      </w:r>
      <w:r>
        <w:rPr>
          <w:rFonts w:asciiTheme="minorHAnsi" w:hAnsiTheme="minorHAnsi" w:cstheme="minorBidi"/>
        </w:rPr>
        <w:t xml:space="preserve"> </w:t>
      </w:r>
      <w:r w:rsidRPr="006C0AD2">
        <w:rPr>
          <w:rFonts w:asciiTheme="minorHAnsi" w:hAnsiTheme="minorHAnsi" w:cstheme="minorBidi"/>
        </w:rPr>
        <w:t>85 TJ, rakendab energiajuhtimissüsteemi, mille on sertifitseerinud sõltumatu asutus asjaomaste Euroopa või rahvusvaheliste standardite kohasel</w:t>
      </w:r>
      <w:r>
        <w:rPr>
          <w:rFonts w:asciiTheme="minorHAnsi" w:hAnsiTheme="minorHAnsi" w:cstheme="minorBidi"/>
        </w:rPr>
        <w:t xml:space="preserve">t. </w:t>
      </w:r>
    </w:p>
    <w:p w14:paraId="31D8B045" w14:textId="77777777" w:rsidR="00B731C3" w:rsidRDefault="00B731C3" w:rsidP="00B731C3">
      <w:pPr>
        <w:pStyle w:val="muudetavtekst"/>
        <w:rPr>
          <w:rFonts w:asciiTheme="minorHAnsi" w:hAnsiTheme="minorHAnsi" w:cstheme="minorBidi"/>
        </w:rPr>
      </w:pPr>
      <w:r w:rsidRPr="57490200">
        <w:rPr>
          <w:rFonts w:asciiTheme="minorHAnsi" w:hAnsiTheme="minorHAnsi" w:cstheme="minorBidi"/>
        </w:rPr>
        <w:t>Var</w:t>
      </w:r>
      <w:r>
        <w:rPr>
          <w:rFonts w:asciiTheme="minorHAnsi" w:hAnsiTheme="minorHAnsi" w:cstheme="minorBidi"/>
        </w:rPr>
        <w:t>em</w:t>
      </w:r>
      <w:r w:rsidRPr="57490200">
        <w:rPr>
          <w:rFonts w:asciiTheme="minorHAnsi" w:hAnsiTheme="minorHAnsi" w:cstheme="minorBidi"/>
        </w:rPr>
        <w:t xml:space="preserve"> oli energiaauditi kohustus suurettevõttetel (töötajaid üle 250 ning müügitulu üle 50 m</w:t>
      </w:r>
      <w:r>
        <w:rPr>
          <w:rFonts w:asciiTheme="minorHAnsi" w:hAnsiTheme="minorHAnsi" w:cstheme="minorBidi"/>
        </w:rPr>
        <w:t>ln</w:t>
      </w:r>
      <w:r w:rsidRPr="57490200">
        <w:rPr>
          <w:rFonts w:asciiTheme="minorHAnsi" w:hAnsiTheme="minorHAnsi" w:cstheme="minorBidi"/>
        </w:rPr>
        <w:t xml:space="preserve"> euro ja/või aastabilanss üle 43 m</w:t>
      </w:r>
      <w:r>
        <w:rPr>
          <w:rFonts w:asciiTheme="minorHAnsi" w:hAnsiTheme="minorHAnsi" w:cstheme="minorBidi"/>
        </w:rPr>
        <w:t>ln</w:t>
      </w:r>
      <w:r w:rsidRPr="57490200">
        <w:rPr>
          <w:rFonts w:asciiTheme="minorHAnsi" w:hAnsiTheme="minorHAnsi" w:cstheme="minorBidi"/>
        </w:rPr>
        <w:t xml:space="preserve"> euro). Eestis oli sellise kohustusega </w:t>
      </w:r>
      <w:r>
        <w:rPr>
          <w:rFonts w:asciiTheme="minorHAnsi" w:hAnsiTheme="minorHAnsi" w:cstheme="minorBidi"/>
        </w:rPr>
        <w:t xml:space="preserve">kuni </w:t>
      </w:r>
      <w:r w:rsidRPr="57490200">
        <w:rPr>
          <w:rFonts w:asciiTheme="minorHAnsi" w:hAnsiTheme="minorHAnsi" w:cstheme="minorBidi"/>
        </w:rPr>
        <w:t>160 ettevõt</w:t>
      </w:r>
      <w:r>
        <w:rPr>
          <w:rFonts w:asciiTheme="minorHAnsi" w:hAnsiTheme="minorHAnsi" w:cstheme="minorBidi"/>
        </w:rPr>
        <w:t>et</w:t>
      </w:r>
      <w:r w:rsidRPr="57490200">
        <w:rPr>
          <w:rFonts w:asciiTheme="minorHAnsi" w:hAnsiTheme="minorHAnsi" w:cstheme="minorBidi"/>
        </w:rPr>
        <w:t>. Joonisel 1 kajastatakse suurettevõtjate jagu</w:t>
      </w:r>
      <w:r>
        <w:rPr>
          <w:rFonts w:asciiTheme="minorHAnsi" w:hAnsiTheme="minorHAnsi" w:cstheme="minorBidi"/>
        </w:rPr>
        <w:t>ne</w:t>
      </w:r>
      <w:r w:rsidRPr="57490200">
        <w:rPr>
          <w:rFonts w:asciiTheme="minorHAnsi" w:hAnsiTheme="minorHAnsi" w:cstheme="minorBidi"/>
        </w:rPr>
        <w:t>mine valdkonniti:</w:t>
      </w:r>
    </w:p>
    <w:p w14:paraId="60EF1776" w14:textId="77777777" w:rsidR="00B731C3" w:rsidRDefault="00B731C3" w:rsidP="00B731C3">
      <w:pPr>
        <w:pStyle w:val="muudetavtekst"/>
        <w:rPr>
          <w:rFonts w:asciiTheme="minorHAnsi" w:hAnsiTheme="minorHAnsi" w:cstheme="minorHAnsi"/>
        </w:rPr>
      </w:pPr>
    </w:p>
    <w:p w14:paraId="4F64063F" w14:textId="77777777" w:rsidR="00B731C3" w:rsidRDefault="00B731C3" w:rsidP="00B731C3">
      <w:pPr>
        <w:pStyle w:val="muudetavtekst"/>
        <w:rPr>
          <w:rFonts w:asciiTheme="minorHAnsi" w:hAnsiTheme="minorHAnsi" w:cstheme="minorHAnsi"/>
        </w:rPr>
      </w:pPr>
      <w:r w:rsidRPr="00331E43">
        <w:rPr>
          <w:rFonts w:asciiTheme="minorHAnsi" w:hAnsiTheme="minorHAnsi" w:cstheme="minorHAnsi"/>
          <w:noProof/>
        </w:rPr>
        <w:lastRenderedPageBreak/>
        <w:drawing>
          <wp:inline distT="0" distB="0" distL="0" distR="0" wp14:anchorId="5BB2767C" wp14:editId="687859D9">
            <wp:extent cx="5760720" cy="3171825"/>
            <wp:effectExtent l="0" t="0" r="0" b="9525"/>
            <wp:docPr id="208850282" name="Pilt 1" descr="Pilt, millel on kujutatud tekst, kuvatõmmis, diagramm, ring&#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50282" name="Pilt 1" descr="Pilt, millel on kujutatud tekst, kuvatõmmis, diagramm, ring&#10;&#10;Tehisintellekti genereeritud sisu võib olla ebatõene."/>
                    <pic:cNvPicPr/>
                  </pic:nvPicPr>
                  <pic:blipFill>
                    <a:blip r:embed="rId31"/>
                    <a:stretch>
                      <a:fillRect/>
                    </a:stretch>
                  </pic:blipFill>
                  <pic:spPr>
                    <a:xfrm>
                      <a:off x="0" y="0"/>
                      <a:ext cx="5760720" cy="3171825"/>
                    </a:xfrm>
                    <a:prstGeom prst="rect">
                      <a:avLst/>
                    </a:prstGeom>
                  </pic:spPr>
                </pic:pic>
              </a:graphicData>
            </a:graphic>
          </wp:inline>
        </w:drawing>
      </w:r>
    </w:p>
    <w:p w14:paraId="4B508CCE" w14:textId="77777777" w:rsidR="00B731C3" w:rsidRPr="00FD4402" w:rsidRDefault="00B731C3" w:rsidP="00B731C3">
      <w:pPr>
        <w:pStyle w:val="muudetavtekst"/>
        <w:rPr>
          <w:rFonts w:asciiTheme="minorHAnsi" w:hAnsiTheme="minorHAnsi" w:cstheme="minorHAnsi"/>
        </w:rPr>
      </w:pPr>
      <w:r w:rsidRPr="00FD4402">
        <w:rPr>
          <w:rFonts w:asciiTheme="minorHAnsi" w:hAnsiTheme="minorHAnsi" w:cstheme="minorHAnsi"/>
        </w:rPr>
        <w:t>Joonis 4</w:t>
      </w:r>
      <w:r>
        <w:rPr>
          <w:rFonts w:asciiTheme="minorHAnsi" w:hAnsiTheme="minorHAnsi" w:cstheme="minorHAnsi"/>
        </w:rPr>
        <w:t>. S</w:t>
      </w:r>
      <w:r w:rsidRPr="00FD4402">
        <w:rPr>
          <w:rFonts w:asciiTheme="minorHAnsi" w:hAnsiTheme="minorHAnsi" w:cstheme="minorHAnsi"/>
        </w:rPr>
        <w:t>uurettevõtete jagunemine sektorite (EMTAK koodi) järgi</w:t>
      </w:r>
      <w:r>
        <w:rPr>
          <w:rFonts w:asciiTheme="minorHAnsi" w:hAnsiTheme="minorHAnsi" w:cstheme="minorHAnsi"/>
        </w:rPr>
        <w:t>.</w:t>
      </w:r>
    </w:p>
    <w:p w14:paraId="6C36A695" w14:textId="77777777" w:rsidR="00B731C3" w:rsidRDefault="00B731C3" w:rsidP="00B731C3">
      <w:pPr>
        <w:pStyle w:val="muudetavtekst"/>
        <w:rPr>
          <w:rFonts w:asciiTheme="minorHAnsi" w:hAnsiTheme="minorHAnsi" w:cstheme="minorHAnsi"/>
        </w:rPr>
      </w:pPr>
    </w:p>
    <w:p w14:paraId="07A1839D" w14:textId="77777777" w:rsidR="00B731C3" w:rsidRPr="007D2E21" w:rsidRDefault="00B731C3" w:rsidP="00B731C3">
      <w:pPr>
        <w:pStyle w:val="muudetavtekst"/>
        <w:rPr>
          <w:rFonts w:asciiTheme="minorHAnsi" w:hAnsiTheme="minorHAnsi" w:cstheme="minorBidi"/>
        </w:rPr>
      </w:pPr>
      <w:r w:rsidRPr="57490200">
        <w:rPr>
          <w:rFonts w:asciiTheme="minorHAnsi" w:hAnsiTheme="minorHAnsi" w:cstheme="minorBidi"/>
        </w:rPr>
        <w:t xml:space="preserve">Eelmise direktiivi </w:t>
      </w:r>
      <w:r>
        <w:rPr>
          <w:rFonts w:asciiTheme="minorHAnsi" w:hAnsiTheme="minorHAnsi" w:cstheme="minorBidi"/>
        </w:rPr>
        <w:t xml:space="preserve">((EL) </w:t>
      </w:r>
      <w:r w:rsidRPr="00495249">
        <w:rPr>
          <w:rFonts w:asciiTheme="minorHAnsi" w:hAnsiTheme="minorHAnsi" w:cstheme="minorBidi"/>
        </w:rPr>
        <w:t>2018/2002</w:t>
      </w:r>
      <w:r>
        <w:rPr>
          <w:rFonts w:asciiTheme="minorHAnsi" w:hAnsiTheme="minorHAnsi" w:cstheme="minorBidi"/>
        </w:rPr>
        <w:t xml:space="preserve">) </w:t>
      </w:r>
      <w:r w:rsidRPr="57490200">
        <w:rPr>
          <w:rFonts w:asciiTheme="minorHAnsi" w:hAnsiTheme="minorHAnsi" w:cstheme="minorBidi"/>
        </w:rPr>
        <w:t>rakendamise</w:t>
      </w:r>
      <w:r>
        <w:rPr>
          <w:rFonts w:asciiTheme="minorHAnsi" w:hAnsiTheme="minorHAnsi" w:cstheme="minorBidi"/>
        </w:rPr>
        <w:t>l</w:t>
      </w:r>
      <w:r w:rsidRPr="57490200">
        <w:rPr>
          <w:rFonts w:asciiTheme="minorHAnsi" w:hAnsiTheme="minorHAnsi" w:cstheme="minorBidi"/>
        </w:rPr>
        <w:t xml:space="preserve"> selgus tõsisasi, et kohustus rakendus näiteks finantssektorile, sest majandusnäitajad olid suured. Samas asus finantssektor</w:t>
      </w:r>
      <w:r>
        <w:rPr>
          <w:rFonts w:asciiTheme="minorHAnsi" w:hAnsiTheme="minorHAnsi" w:cstheme="minorBidi"/>
        </w:rPr>
        <w:t xml:space="preserve"> </w:t>
      </w:r>
      <w:r w:rsidRPr="57490200">
        <w:rPr>
          <w:rFonts w:asciiTheme="minorHAnsi" w:hAnsiTheme="minorHAnsi" w:cstheme="minorBidi"/>
        </w:rPr>
        <w:t>enamasti üüritud kontoripindadel, mistõttu olid nende võimalused</w:t>
      </w:r>
      <w:r>
        <w:rPr>
          <w:rFonts w:asciiTheme="minorHAnsi" w:hAnsiTheme="minorHAnsi" w:cstheme="minorBidi"/>
        </w:rPr>
        <w:t xml:space="preserve"> suurendada</w:t>
      </w:r>
      <w:r w:rsidRPr="57490200">
        <w:rPr>
          <w:rFonts w:asciiTheme="minorHAnsi" w:hAnsiTheme="minorHAnsi" w:cstheme="minorBidi"/>
        </w:rPr>
        <w:t xml:space="preserve"> energiatõhusus</w:t>
      </w:r>
      <w:r>
        <w:rPr>
          <w:rFonts w:asciiTheme="minorHAnsi" w:hAnsiTheme="minorHAnsi" w:cstheme="minorBidi"/>
        </w:rPr>
        <w:t>t</w:t>
      </w:r>
      <w:r w:rsidRPr="57490200">
        <w:rPr>
          <w:rFonts w:asciiTheme="minorHAnsi" w:hAnsiTheme="minorHAnsi" w:cstheme="minorBidi"/>
        </w:rPr>
        <w:t xml:space="preserve"> piiratud.</w:t>
      </w:r>
    </w:p>
    <w:p w14:paraId="5A42DDA6" w14:textId="77777777" w:rsidR="00B731C3" w:rsidRPr="007D2E21" w:rsidRDefault="00B731C3" w:rsidP="00B731C3">
      <w:pPr>
        <w:pStyle w:val="muudetavtekst"/>
        <w:rPr>
          <w:rFonts w:asciiTheme="minorHAnsi" w:hAnsiTheme="minorHAnsi" w:cstheme="minorHAnsi"/>
        </w:rPr>
      </w:pPr>
    </w:p>
    <w:p w14:paraId="523E0B4F" w14:textId="77777777" w:rsidR="00B731C3" w:rsidRDefault="00B731C3" w:rsidP="00B731C3">
      <w:pPr>
        <w:spacing w:after="0" w:line="240" w:lineRule="auto"/>
        <w:jc w:val="both"/>
        <w:rPr>
          <w:sz w:val="24"/>
          <w:szCs w:val="24"/>
        </w:rPr>
      </w:pPr>
      <w:r w:rsidRPr="57490200">
        <w:rPr>
          <w:sz w:val="24"/>
          <w:szCs w:val="24"/>
        </w:rPr>
        <w:t xml:space="preserve">Uus direktiiv on fookuse suunanud ettevõtete energiatarbimisele (soojus, elekter, gaas, vedelkütused) ja energiaauditi või energiajuhtimissüsteemi kohustus sõltub ettevõtte energiatarbimisest. Ettevõtetel, kus kolme aasta keskmine energiatarbimine on üle 10 TJ/a (2,77 GWh/a) on kohustus koostada energiaaudit iga </w:t>
      </w:r>
      <w:r>
        <w:rPr>
          <w:sz w:val="24"/>
          <w:szCs w:val="24"/>
        </w:rPr>
        <w:t>nelja</w:t>
      </w:r>
      <w:r w:rsidRPr="57490200">
        <w:rPr>
          <w:sz w:val="24"/>
          <w:szCs w:val="24"/>
        </w:rPr>
        <w:t xml:space="preserve"> aasta tagant. Ettevõte võib </w:t>
      </w:r>
      <w:r>
        <w:rPr>
          <w:sz w:val="24"/>
          <w:szCs w:val="24"/>
        </w:rPr>
        <w:t>asendada energiaauditi ka</w:t>
      </w:r>
      <w:r w:rsidRPr="57490200">
        <w:rPr>
          <w:sz w:val="24"/>
          <w:szCs w:val="24"/>
        </w:rPr>
        <w:t xml:space="preserve"> energiajuhtimissüsteemi</w:t>
      </w:r>
      <w:r>
        <w:rPr>
          <w:sz w:val="24"/>
          <w:szCs w:val="24"/>
        </w:rPr>
        <w:t>ga, kui juhtimissüsteem sobitub tema majandustugevusse paremini. Kohustust energiajuhtimissüsteemi rakendada ei ole ettevõtetel mille energiatarbimine on üle 10 TJ/a (2,77 GWh/a).</w:t>
      </w:r>
    </w:p>
    <w:p w14:paraId="3144C605" w14:textId="77777777" w:rsidR="00B731C3" w:rsidRPr="0011001C" w:rsidRDefault="00B731C3" w:rsidP="00B731C3">
      <w:pPr>
        <w:spacing w:after="0" w:line="240" w:lineRule="auto"/>
        <w:jc w:val="both"/>
        <w:rPr>
          <w:rFonts w:eastAsia="Times New Roman"/>
          <w:sz w:val="24"/>
          <w:szCs w:val="24"/>
          <w:lang w:eastAsia="et-EE"/>
        </w:rPr>
      </w:pPr>
      <w:r w:rsidRPr="57490200">
        <w:rPr>
          <w:sz w:val="24"/>
          <w:szCs w:val="24"/>
        </w:rPr>
        <w:t>Ettevõte, kus kolme aasta keskmine energiatarbimine on üle 85 TJ/a (23,6 GWh/a) kohustub rakendama energiajuhtimissüsteemi, mi</w:t>
      </w:r>
      <w:r>
        <w:rPr>
          <w:sz w:val="24"/>
          <w:szCs w:val="24"/>
        </w:rPr>
        <w:t>lle</w:t>
      </w:r>
      <w:r w:rsidRPr="57490200">
        <w:rPr>
          <w:sz w:val="24"/>
          <w:szCs w:val="24"/>
        </w:rPr>
        <w:t xml:space="preserve"> peab olema</w:t>
      </w:r>
      <w:r>
        <w:rPr>
          <w:sz w:val="24"/>
          <w:szCs w:val="24"/>
        </w:rPr>
        <w:t xml:space="preserve"> </w:t>
      </w:r>
      <w:r w:rsidRPr="57490200">
        <w:rPr>
          <w:rFonts w:eastAsia="Times New Roman"/>
          <w:sz w:val="24"/>
          <w:szCs w:val="24"/>
          <w:lang w:eastAsia="et-EE"/>
        </w:rPr>
        <w:t>sertifitseeri</w:t>
      </w:r>
      <w:r>
        <w:rPr>
          <w:rFonts w:eastAsia="Times New Roman"/>
          <w:sz w:val="24"/>
          <w:szCs w:val="24"/>
          <w:lang w:eastAsia="et-EE"/>
        </w:rPr>
        <w:t>n</w:t>
      </w:r>
      <w:r w:rsidRPr="57490200">
        <w:rPr>
          <w:rFonts w:eastAsia="Times New Roman"/>
          <w:sz w:val="24"/>
          <w:szCs w:val="24"/>
          <w:lang w:eastAsia="et-EE"/>
        </w:rPr>
        <w:t xml:space="preserve">ud sõltumatu asutus ja </w:t>
      </w:r>
      <w:r>
        <w:rPr>
          <w:rFonts w:eastAsia="Times New Roman"/>
          <w:sz w:val="24"/>
          <w:szCs w:val="24"/>
          <w:lang w:eastAsia="et-EE"/>
        </w:rPr>
        <w:t xml:space="preserve">mis </w:t>
      </w:r>
      <w:r w:rsidRPr="57490200">
        <w:rPr>
          <w:rFonts w:eastAsia="Times New Roman"/>
          <w:sz w:val="24"/>
          <w:szCs w:val="24"/>
          <w:lang w:eastAsia="et-EE"/>
        </w:rPr>
        <w:t>vasta</w:t>
      </w:r>
      <w:r>
        <w:rPr>
          <w:rFonts w:eastAsia="Times New Roman"/>
          <w:sz w:val="24"/>
          <w:szCs w:val="24"/>
          <w:lang w:eastAsia="et-EE"/>
        </w:rPr>
        <w:t>b</w:t>
      </w:r>
      <w:r w:rsidRPr="57490200">
        <w:rPr>
          <w:rFonts w:eastAsia="Times New Roman"/>
          <w:sz w:val="24"/>
          <w:szCs w:val="24"/>
          <w:lang w:eastAsia="et-EE"/>
        </w:rPr>
        <w:t xml:space="preserve"> asjaomastele Euroopa või rahvusvahelistele standarditele</w:t>
      </w:r>
      <w:r>
        <w:rPr>
          <w:rFonts w:eastAsia="Times New Roman"/>
          <w:sz w:val="24"/>
          <w:szCs w:val="24"/>
          <w:lang w:eastAsia="et-EE"/>
        </w:rPr>
        <w:t>, nt</w:t>
      </w:r>
      <w:r w:rsidRPr="57490200">
        <w:rPr>
          <w:rFonts w:eastAsia="Times New Roman"/>
          <w:sz w:val="24"/>
          <w:szCs w:val="24"/>
          <w:lang w:eastAsia="et-EE"/>
        </w:rPr>
        <w:t xml:space="preserve"> EN ISO 50001 (energiajuhtimissüsteemid) või EN 16247-1 (energiaauditid) või EN ISO 14000 (keskkonnajuhtimissüsteemid).</w:t>
      </w:r>
    </w:p>
    <w:p w14:paraId="366D6C02" w14:textId="77777777" w:rsidR="00B731C3" w:rsidRDefault="00B731C3" w:rsidP="00B731C3">
      <w:pPr>
        <w:spacing w:after="0" w:line="240" w:lineRule="auto"/>
        <w:jc w:val="both"/>
        <w:rPr>
          <w:rFonts w:eastAsia="Times New Roman"/>
          <w:sz w:val="24"/>
          <w:szCs w:val="24"/>
          <w:lang w:eastAsia="et-EE"/>
        </w:rPr>
      </w:pPr>
      <w:r w:rsidRPr="00904B6D">
        <w:rPr>
          <w:rFonts w:eastAsia="Times New Roman"/>
          <w:sz w:val="24"/>
          <w:szCs w:val="24"/>
          <w:lang w:eastAsia="et-EE"/>
        </w:rPr>
        <w:t>Ettevõtteid, kus energiatarbimine on suurem kui 10 TJ, on u 630–800.</w:t>
      </w:r>
    </w:p>
    <w:p w14:paraId="1ED5596D" w14:textId="77777777" w:rsidR="00B731C3" w:rsidRDefault="00B731C3" w:rsidP="00B731C3">
      <w:pPr>
        <w:spacing w:after="0" w:line="240" w:lineRule="auto"/>
        <w:jc w:val="both"/>
        <w:rPr>
          <w:rFonts w:eastAsia="Times New Roman"/>
          <w:sz w:val="24"/>
          <w:szCs w:val="24"/>
          <w:lang w:eastAsia="et-EE"/>
        </w:rPr>
      </w:pPr>
      <w:r>
        <w:rPr>
          <w:rFonts w:eastAsia="Times New Roman"/>
          <w:sz w:val="24"/>
          <w:szCs w:val="24"/>
          <w:lang w:eastAsia="et-EE"/>
        </w:rPr>
        <w:t>E</w:t>
      </w:r>
      <w:r w:rsidRPr="57490200">
        <w:rPr>
          <w:rFonts w:eastAsia="Times New Roman"/>
          <w:sz w:val="24"/>
          <w:szCs w:val="24"/>
          <w:lang w:eastAsia="et-EE"/>
        </w:rPr>
        <w:t xml:space="preserve">ttevõtjate </w:t>
      </w:r>
      <w:r>
        <w:rPr>
          <w:rFonts w:eastAsia="Times New Roman"/>
          <w:sz w:val="24"/>
          <w:szCs w:val="24"/>
          <w:lang w:eastAsia="et-EE"/>
        </w:rPr>
        <w:t xml:space="preserve">täpset </w:t>
      </w:r>
      <w:r w:rsidRPr="57490200">
        <w:rPr>
          <w:rFonts w:eastAsia="Times New Roman"/>
          <w:sz w:val="24"/>
          <w:szCs w:val="24"/>
          <w:lang w:eastAsia="et-EE"/>
        </w:rPr>
        <w:t>arvu määrat</w:t>
      </w:r>
      <w:r>
        <w:rPr>
          <w:rFonts w:eastAsia="Times New Roman"/>
          <w:sz w:val="24"/>
          <w:szCs w:val="24"/>
          <w:lang w:eastAsia="et-EE"/>
        </w:rPr>
        <w:t>a</w:t>
      </w:r>
      <w:r w:rsidRPr="57490200">
        <w:rPr>
          <w:rFonts w:eastAsia="Times New Roman"/>
          <w:sz w:val="24"/>
          <w:szCs w:val="24"/>
          <w:lang w:eastAsia="et-EE"/>
        </w:rPr>
        <w:t xml:space="preserve"> on keeruline</w:t>
      </w:r>
      <w:r>
        <w:rPr>
          <w:rFonts w:eastAsia="Times New Roman"/>
          <w:sz w:val="24"/>
          <w:szCs w:val="24"/>
          <w:lang w:eastAsia="et-EE"/>
        </w:rPr>
        <w:t xml:space="preserve"> </w:t>
      </w:r>
      <w:r w:rsidRPr="57490200">
        <w:rPr>
          <w:rFonts w:eastAsia="Times New Roman"/>
          <w:sz w:val="24"/>
          <w:szCs w:val="24"/>
          <w:lang w:eastAsia="et-EE"/>
        </w:rPr>
        <w:t xml:space="preserve">kuna riigil ei ole ettevõtete </w:t>
      </w:r>
      <w:r>
        <w:rPr>
          <w:rFonts w:eastAsia="Times New Roman"/>
          <w:sz w:val="24"/>
          <w:szCs w:val="24"/>
          <w:lang w:eastAsia="et-EE"/>
        </w:rPr>
        <w:t>kaupa</w:t>
      </w:r>
      <w:r w:rsidRPr="57490200">
        <w:rPr>
          <w:rFonts w:eastAsia="Times New Roman"/>
          <w:sz w:val="24"/>
          <w:szCs w:val="24"/>
          <w:lang w:eastAsia="et-EE"/>
        </w:rPr>
        <w:t xml:space="preserve"> energiatarbimise andmeid, mis oleks laialdaselt kättesaadavad. Statistikaamet küll kogub ettevõtetelt andmeid, kuid ei avalda neid ettevõtte põh</w:t>
      </w:r>
      <w:r>
        <w:rPr>
          <w:rFonts w:eastAsia="Times New Roman"/>
          <w:sz w:val="24"/>
          <w:szCs w:val="24"/>
          <w:lang w:eastAsia="et-EE"/>
        </w:rPr>
        <w:t>jal,</w:t>
      </w:r>
      <w:r w:rsidRPr="57490200">
        <w:rPr>
          <w:rFonts w:eastAsia="Times New Roman"/>
          <w:sz w:val="24"/>
          <w:szCs w:val="24"/>
          <w:lang w:eastAsia="et-EE"/>
        </w:rPr>
        <w:t xml:space="preserve"> vaid andmeid saab tegevusvaldkondade kaupa. S</w:t>
      </w:r>
      <w:r>
        <w:rPr>
          <w:rFonts w:eastAsia="Times New Roman"/>
          <w:sz w:val="24"/>
          <w:szCs w:val="24"/>
          <w:lang w:eastAsia="et-EE"/>
        </w:rPr>
        <w:t xml:space="preserve">eega </w:t>
      </w:r>
      <w:r w:rsidRPr="57490200">
        <w:rPr>
          <w:rFonts w:eastAsia="Times New Roman"/>
          <w:sz w:val="24"/>
          <w:szCs w:val="24"/>
          <w:lang w:eastAsia="et-EE"/>
        </w:rPr>
        <w:t>on energiasäästu koordinaa</w:t>
      </w:r>
      <w:r>
        <w:rPr>
          <w:rFonts w:eastAsia="Times New Roman"/>
          <w:sz w:val="24"/>
          <w:szCs w:val="24"/>
          <w:lang w:eastAsia="et-EE"/>
        </w:rPr>
        <w:t>to</w:t>
      </w:r>
      <w:r w:rsidRPr="57490200">
        <w:rPr>
          <w:rFonts w:eastAsia="Times New Roman"/>
          <w:sz w:val="24"/>
          <w:szCs w:val="24"/>
          <w:lang w:eastAsia="et-EE"/>
        </w:rPr>
        <w:t>ri</w:t>
      </w:r>
      <w:r>
        <w:rPr>
          <w:rFonts w:eastAsia="Times New Roman"/>
          <w:sz w:val="24"/>
          <w:szCs w:val="24"/>
          <w:lang w:eastAsia="et-EE"/>
        </w:rPr>
        <w:t>l vaja</w:t>
      </w:r>
      <w:r w:rsidRPr="57490200">
        <w:rPr>
          <w:rFonts w:eastAsia="Times New Roman"/>
          <w:sz w:val="24"/>
          <w:szCs w:val="24"/>
          <w:lang w:eastAsia="et-EE"/>
        </w:rPr>
        <w:t xml:space="preserve"> teha koostööd Majandus- ja </w:t>
      </w:r>
      <w:r>
        <w:rPr>
          <w:rFonts w:eastAsia="Times New Roman"/>
          <w:sz w:val="24"/>
          <w:szCs w:val="24"/>
          <w:lang w:eastAsia="et-EE"/>
        </w:rPr>
        <w:t>K</w:t>
      </w:r>
      <w:r w:rsidRPr="57490200">
        <w:rPr>
          <w:rFonts w:eastAsia="Times New Roman"/>
          <w:sz w:val="24"/>
          <w:szCs w:val="24"/>
          <w:lang w:eastAsia="et-EE"/>
        </w:rPr>
        <w:t>ommunikatsiooniministeeriumi reaalajamajanduse valdkonna</w:t>
      </w:r>
      <w:r>
        <w:rPr>
          <w:rStyle w:val="Allmrkuseviide"/>
          <w:rFonts w:eastAsia="Times New Roman"/>
          <w:sz w:val="24"/>
          <w:szCs w:val="24"/>
          <w:lang w:eastAsia="et-EE"/>
        </w:rPr>
        <w:footnoteReference w:id="63"/>
      </w:r>
      <w:r w:rsidRPr="57490200">
        <w:rPr>
          <w:rFonts w:eastAsia="Times New Roman"/>
          <w:sz w:val="24"/>
          <w:szCs w:val="24"/>
          <w:lang w:eastAsia="et-EE"/>
        </w:rPr>
        <w:t xml:space="preserve"> inimestega, kelle </w:t>
      </w:r>
      <w:r>
        <w:rPr>
          <w:rFonts w:eastAsia="Times New Roman"/>
          <w:sz w:val="24"/>
          <w:szCs w:val="24"/>
          <w:lang w:eastAsia="et-EE"/>
        </w:rPr>
        <w:t xml:space="preserve">üks </w:t>
      </w:r>
      <w:r w:rsidRPr="57490200">
        <w:rPr>
          <w:rFonts w:eastAsia="Times New Roman"/>
          <w:sz w:val="24"/>
          <w:szCs w:val="24"/>
          <w:lang w:eastAsia="et-EE"/>
        </w:rPr>
        <w:t>ülesan</w:t>
      </w:r>
      <w:r>
        <w:rPr>
          <w:rFonts w:eastAsia="Times New Roman"/>
          <w:sz w:val="24"/>
          <w:szCs w:val="24"/>
          <w:lang w:eastAsia="et-EE"/>
        </w:rPr>
        <w:t>ne</w:t>
      </w:r>
      <w:r w:rsidRPr="57490200">
        <w:rPr>
          <w:rFonts w:eastAsia="Times New Roman"/>
          <w:sz w:val="24"/>
          <w:szCs w:val="24"/>
          <w:lang w:eastAsia="et-EE"/>
        </w:rPr>
        <w:t xml:space="preserve"> on </w:t>
      </w:r>
      <w:r>
        <w:rPr>
          <w:rFonts w:eastAsia="Times New Roman"/>
          <w:sz w:val="24"/>
          <w:szCs w:val="24"/>
          <w:lang w:eastAsia="et-EE"/>
        </w:rPr>
        <w:t xml:space="preserve">edendada ka andmepõhist aruandulust Eestis. </w:t>
      </w:r>
    </w:p>
    <w:p w14:paraId="79D4761F" w14:textId="77777777" w:rsidR="00B731C3" w:rsidRDefault="00B731C3" w:rsidP="00B731C3">
      <w:pPr>
        <w:spacing w:after="0" w:line="240" w:lineRule="auto"/>
        <w:jc w:val="both"/>
        <w:rPr>
          <w:rFonts w:eastAsia="Times New Roman"/>
          <w:sz w:val="24"/>
          <w:szCs w:val="24"/>
          <w:lang w:eastAsia="et-EE"/>
        </w:rPr>
      </w:pPr>
      <w:r w:rsidRPr="57490200">
        <w:rPr>
          <w:rFonts w:eastAsia="Times New Roman"/>
          <w:sz w:val="24"/>
          <w:szCs w:val="24"/>
          <w:lang w:eastAsia="et-EE"/>
        </w:rPr>
        <w:t>Direktiivi läbirääkimiste käigus (2020) tegi energiasäästu koordinaator esmase mõjuanalüüsi Elering AS andmete põh</w:t>
      </w:r>
      <w:r>
        <w:rPr>
          <w:rFonts w:eastAsia="Times New Roman"/>
          <w:sz w:val="24"/>
          <w:szCs w:val="24"/>
          <w:lang w:eastAsia="et-EE"/>
        </w:rPr>
        <w:t>jal</w:t>
      </w:r>
      <w:r w:rsidRPr="57490200">
        <w:rPr>
          <w:rFonts w:eastAsia="Times New Roman"/>
          <w:sz w:val="24"/>
          <w:szCs w:val="24"/>
          <w:lang w:eastAsia="et-EE"/>
        </w:rPr>
        <w:t xml:space="preserve">. Joonisel </w:t>
      </w:r>
      <w:r>
        <w:rPr>
          <w:rFonts w:eastAsia="Times New Roman"/>
          <w:sz w:val="24"/>
          <w:szCs w:val="24"/>
          <w:lang w:eastAsia="et-EE"/>
        </w:rPr>
        <w:t>5</w:t>
      </w:r>
      <w:r w:rsidRPr="57490200">
        <w:rPr>
          <w:rFonts w:eastAsia="Times New Roman"/>
          <w:sz w:val="24"/>
          <w:szCs w:val="24"/>
          <w:lang w:eastAsia="et-EE"/>
        </w:rPr>
        <w:t xml:space="preserve"> on ettevõtete arv sektori</w:t>
      </w:r>
      <w:r>
        <w:rPr>
          <w:rFonts w:eastAsia="Times New Roman"/>
          <w:sz w:val="24"/>
          <w:szCs w:val="24"/>
          <w:lang w:eastAsia="et-EE"/>
        </w:rPr>
        <w:t>ti</w:t>
      </w:r>
      <w:r w:rsidRPr="57490200">
        <w:rPr>
          <w:rFonts w:eastAsia="Times New Roman"/>
          <w:sz w:val="24"/>
          <w:szCs w:val="24"/>
          <w:lang w:eastAsia="et-EE"/>
        </w:rPr>
        <w:t xml:space="preserve"> (EMTAK koodi järgi), kus elektrienergia ja gaasi tarbimine kokku oli üle 10 TJ aastas.</w:t>
      </w:r>
    </w:p>
    <w:p w14:paraId="66C4870F" w14:textId="77777777" w:rsidR="00B731C3" w:rsidRDefault="00B731C3" w:rsidP="00B731C3">
      <w:pPr>
        <w:spacing w:after="0" w:line="240" w:lineRule="auto"/>
        <w:jc w:val="both"/>
        <w:rPr>
          <w:rFonts w:eastAsia="Times New Roman"/>
          <w:sz w:val="24"/>
          <w:szCs w:val="24"/>
          <w:lang w:eastAsia="et-EE"/>
        </w:rPr>
      </w:pPr>
    </w:p>
    <w:p w14:paraId="1C7E37C6" w14:textId="77777777" w:rsidR="00B731C3" w:rsidRDefault="00B731C3" w:rsidP="00B731C3">
      <w:pPr>
        <w:spacing w:after="0" w:line="240" w:lineRule="auto"/>
        <w:jc w:val="both"/>
        <w:rPr>
          <w:rFonts w:eastAsia="Times New Roman" w:cstheme="minorHAnsi"/>
          <w:sz w:val="24"/>
          <w:szCs w:val="24"/>
          <w:lang w:eastAsia="et-EE"/>
        </w:rPr>
      </w:pPr>
      <w:r w:rsidRPr="000D475F">
        <w:rPr>
          <w:rFonts w:eastAsia="Times New Roman" w:cstheme="minorHAnsi"/>
          <w:noProof/>
          <w:sz w:val="24"/>
          <w:szCs w:val="24"/>
          <w:lang w:eastAsia="et-EE"/>
        </w:rPr>
        <w:lastRenderedPageBreak/>
        <w:drawing>
          <wp:inline distT="0" distB="0" distL="0" distR="0" wp14:anchorId="6C1BBBC3" wp14:editId="7EFF112F">
            <wp:extent cx="5760720" cy="3364865"/>
            <wp:effectExtent l="0" t="0" r="0" b="6985"/>
            <wp:docPr id="175340566" name="Pilt 1" descr="Pilt, millel on kujutatud tekst, kuvatõmmis, diagramm, ring&#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40566" name="Pilt 1" descr="Pilt, millel on kujutatud tekst, kuvatõmmis, diagramm, ring&#10;&#10;Tehisintellekti genereeritud sisu võib olla ebatõene."/>
                    <pic:cNvPicPr/>
                  </pic:nvPicPr>
                  <pic:blipFill>
                    <a:blip r:embed="rId32"/>
                    <a:stretch>
                      <a:fillRect/>
                    </a:stretch>
                  </pic:blipFill>
                  <pic:spPr>
                    <a:xfrm>
                      <a:off x="0" y="0"/>
                      <a:ext cx="5760720" cy="3364865"/>
                    </a:xfrm>
                    <a:prstGeom prst="rect">
                      <a:avLst/>
                    </a:prstGeom>
                  </pic:spPr>
                </pic:pic>
              </a:graphicData>
            </a:graphic>
          </wp:inline>
        </w:drawing>
      </w:r>
    </w:p>
    <w:p w14:paraId="312E5AEE" w14:textId="77777777" w:rsidR="00B731C3" w:rsidRPr="00FD4402" w:rsidRDefault="00B731C3" w:rsidP="00B731C3">
      <w:pPr>
        <w:spacing w:after="0" w:line="240" w:lineRule="auto"/>
        <w:jc w:val="both"/>
        <w:rPr>
          <w:rFonts w:eastAsia="Times New Roman"/>
          <w:sz w:val="24"/>
          <w:szCs w:val="24"/>
          <w:lang w:eastAsia="et-EE"/>
        </w:rPr>
      </w:pPr>
      <w:r w:rsidRPr="00FD4402">
        <w:rPr>
          <w:rFonts w:eastAsia="Times New Roman"/>
          <w:sz w:val="24"/>
          <w:szCs w:val="24"/>
          <w:lang w:eastAsia="et-EE"/>
        </w:rPr>
        <w:t>Joonis 5. Ettevõtete jagunemine sektorite kaupa (EMTAK koodi järgi)</w:t>
      </w:r>
      <w:r>
        <w:rPr>
          <w:rFonts w:eastAsia="Times New Roman"/>
          <w:sz w:val="24"/>
          <w:szCs w:val="24"/>
          <w:lang w:eastAsia="et-EE"/>
        </w:rPr>
        <w:t>,</w:t>
      </w:r>
      <w:r w:rsidRPr="00FD4402">
        <w:rPr>
          <w:rFonts w:eastAsia="Times New Roman"/>
          <w:sz w:val="24"/>
          <w:szCs w:val="24"/>
          <w:lang w:eastAsia="et-EE"/>
        </w:rPr>
        <w:t xml:space="preserve"> kui nende elektri ja gaasi tarbimine on suurem kui 10</w:t>
      </w:r>
      <w:r>
        <w:rPr>
          <w:rFonts w:eastAsia="Times New Roman"/>
          <w:sz w:val="24"/>
          <w:szCs w:val="24"/>
          <w:lang w:eastAsia="et-EE"/>
        </w:rPr>
        <w:t xml:space="preserve"> </w:t>
      </w:r>
      <w:r w:rsidRPr="00FD4402">
        <w:rPr>
          <w:rFonts w:eastAsia="Times New Roman"/>
          <w:sz w:val="24"/>
          <w:szCs w:val="24"/>
          <w:lang w:eastAsia="et-EE"/>
        </w:rPr>
        <w:t>TJ aastas.</w:t>
      </w:r>
    </w:p>
    <w:p w14:paraId="5A63388C" w14:textId="77777777" w:rsidR="00B731C3" w:rsidRDefault="00B731C3" w:rsidP="00B731C3">
      <w:pPr>
        <w:spacing w:after="0" w:line="240" w:lineRule="auto"/>
        <w:jc w:val="both"/>
        <w:rPr>
          <w:sz w:val="24"/>
          <w:szCs w:val="24"/>
        </w:rPr>
      </w:pPr>
    </w:p>
    <w:p w14:paraId="2B7D35C4" w14:textId="77777777" w:rsidR="00B731C3" w:rsidRDefault="00B731C3" w:rsidP="00B731C3">
      <w:pPr>
        <w:spacing w:after="0" w:line="240" w:lineRule="auto"/>
        <w:jc w:val="both"/>
        <w:rPr>
          <w:sz w:val="24"/>
          <w:szCs w:val="24"/>
        </w:rPr>
      </w:pPr>
      <w:r w:rsidRPr="57490200">
        <w:rPr>
          <w:sz w:val="24"/>
          <w:szCs w:val="24"/>
        </w:rPr>
        <w:t xml:space="preserve">Elektri ja gaasi tarbimise järgi kasvab </w:t>
      </w:r>
      <w:r>
        <w:rPr>
          <w:sz w:val="24"/>
          <w:szCs w:val="24"/>
        </w:rPr>
        <w:t xml:space="preserve">nende </w:t>
      </w:r>
      <w:r w:rsidRPr="57490200">
        <w:rPr>
          <w:sz w:val="24"/>
          <w:szCs w:val="24"/>
        </w:rPr>
        <w:t>ettevõtete hulk, kellele tekib vähemalt energiaauditi koostamise kohustus</w:t>
      </w:r>
      <w:r>
        <w:rPr>
          <w:sz w:val="24"/>
          <w:szCs w:val="24"/>
        </w:rPr>
        <w:t>,</w:t>
      </w:r>
      <w:r w:rsidRPr="57490200">
        <w:rPr>
          <w:sz w:val="24"/>
          <w:szCs w:val="24"/>
        </w:rPr>
        <w:t xml:space="preserve"> </w:t>
      </w:r>
      <w:r>
        <w:rPr>
          <w:sz w:val="24"/>
          <w:szCs w:val="24"/>
        </w:rPr>
        <w:t xml:space="preserve">umbes kolm korda </w:t>
      </w:r>
      <w:r w:rsidRPr="57490200">
        <w:rPr>
          <w:sz w:val="24"/>
          <w:szCs w:val="24"/>
        </w:rPr>
        <w:t>(~</w:t>
      </w:r>
      <w:r>
        <w:rPr>
          <w:sz w:val="24"/>
          <w:szCs w:val="24"/>
        </w:rPr>
        <w:t xml:space="preserve"> </w:t>
      </w:r>
      <w:r w:rsidRPr="57490200">
        <w:rPr>
          <w:sz w:val="24"/>
          <w:szCs w:val="24"/>
        </w:rPr>
        <w:t>150-lt ettevõttelt ~</w:t>
      </w:r>
      <w:r>
        <w:rPr>
          <w:sz w:val="24"/>
          <w:szCs w:val="24"/>
        </w:rPr>
        <w:t xml:space="preserve"> </w:t>
      </w:r>
      <w:r w:rsidRPr="57490200">
        <w:rPr>
          <w:sz w:val="24"/>
          <w:szCs w:val="24"/>
        </w:rPr>
        <w:t>430</w:t>
      </w:r>
      <w:r>
        <w:rPr>
          <w:sz w:val="24"/>
          <w:szCs w:val="24"/>
        </w:rPr>
        <w:t>ni</w:t>
      </w:r>
      <w:r w:rsidRPr="57490200">
        <w:rPr>
          <w:sz w:val="24"/>
          <w:szCs w:val="24"/>
        </w:rPr>
        <w:t xml:space="preserve">). Kuid ettevõtte energiaprofiil ei koosne ainult elektrist ja gaasist, vaid ka soojusest ning vedelkütustest. Tuginedes Statistikaameti </w:t>
      </w:r>
      <w:r>
        <w:rPr>
          <w:sz w:val="24"/>
          <w:szCs w:val="24"/>
        </w:rPr>
        <w:t>andmetele</w:t>
      </w:r>
      <w:r w:rsidRPr="57490200">
        <w:rPr>
          <w:sz w:val="24"/>
          <w:szCs w:val="24"/>
        </w:rPr>
        <w:t xml:space="preserve"> võib Kliimaministeeriumi hinnangul vedelkütuste tõttu kohustusega seotud ettevõtete arv koos teiste valdkondadega kokku suureneda </w:t>
      </w:r>
      <w:r>
        <w:rPr>
          <w:sz w:val="24"/>
          <w:szCs w:val="24"/>
        </w:rPr>
        <w:t xml:space="preserve">isegi </w:t>
      </w:r>
      <w:r w:rsidRPr="57490200">
        <w:rPr>
          <w:sz w:val="24"/>
          <w:szCs w:val="24"/>
        </w:rPr>
        <w:t xml:space="preserve">kuni </w:t>
      </w:r>
      <w:r>
        <w:rPr>
          <w:sz w:val="24"/>
          <w:szCs w:val="24"/>
        </w:rPr>
        <w:t xml:space="preserve">viis </w:t>
      </w:r>
      <w:r w:rsidRPr="57490200">
        <w:rPr>
          <w:sz w:val="24"/>
          <w:szCs w:val="24"/>
        </w:rPr>
        <w:t xml:space="preserve">korda (kuni 800 ettevõtteni) </w:t>
      </w:r>
    </w:p>
    <w:p w14:paraId="7D84710C" w14:textId="77777777" w:rsidR="00B731C3" w:rsidRDefault="00B731C3" w:rsidP="00B731C3">
      <w:pPr>
        <w:spacing w:after="0" w:line="240" w:lineRule="auto"/>
        <w:jc w:val="both"/>
        <w:rPr>
          <w:sz w:val="24"/>
          <w:szCs w:val="24"/>
        </w:rPr>
      </w:pPr>
      <w:r w:rsidRPr="57490200">
        <w:rPr>
          <w:sz w:val="24"/>
          <w:szCs w:val="24"/>
        </w:rPr>
        <w:t xml:space="preserve">Eleringi 2024 andmete põhjal on </w:t>
      </w:r>
      <w:r>
        <w:rPr>
          <w:sz w:val="24"/>
          <w:szCs w:val="24"/>
        </w:rPr>
        <w:t xml:space="preserve">431 </w:t>
      </w:r>
      <w:r w:rsidRPr="57490200">
        <w:rPr>
          <w:sz w:val="24"/>
          <w:szCs w:val="24"/>
        </w:rPr>
        <w:t>ettevõt</w:t>
      </w:r>
      <w:r>
        <w:rPr>
          <w:sz w:val="24"/>
          <w:szCs w:val="24"/>
        </w:rPr>
        <w:t>et</w:t>
      </w:r>
      <w:r w:rsidRPr="57490200">
        <w:rPr>
          <w:sz w:val="24"/>
          <w:szCs w:val="24"/>
        </w:rPr>
        <w:t>, kelle</w:t>
      </w:r>
      <w:r>
        <w:rPr>
          <w:sz w:val="24"/>
          <w:szCs w:val="24"/>
        </w:rPr>
        <w:t xml:space="preserve"> energiatarbimine koos </w:t>
      </w:r>
      <w:r w:rsidRPr="57490200">
        <w:rPr>
          <w:sz w:val="24"/>
          <w:szCs w:val="24"/>
        </w:rPr>
        <w:t>elektri ja gaasi</w:t>
      </w:r>
      <w:r>
        <w:rPr>
          <w:sz w:val="24"/>
          <w:szCs w:val="24"/>
        </w:rPr>
        <w:t xml:space="preserve"> </w:t>
      </w:r>
      <w:r w:rsidRPr="57490200">
        <w:rPr>
          <w:sz w:val="24"/>
          <w:szCs w:val="24"/>
        </w:rPr>
        <w:t>tarbimisega suurem kui 10 TJ aastas (energiaauditi kohustus).</w:t>
      </w:r>
      <w:r>
        <w:rPr>
          <w:sz w:val="24"/>
          <w:szCs w:val="24"/>
        </w:rPr>
        <w:t xml:space="preserve"> </w:t>
      </w:r>
      <w:r w:rsidRPr="57490200">
        <w:rPr>
          <w:sz w:val="24"/>
          <w:szCs w:val="24"/>
        </w:rPr>
        <w:t>Ettevõttei</w:t>
      </w:r>
      <w:r>
        <w:rPr>
          <w:sz w:val="24"/>
          <w:szCs w:val="24"/>
        </w:rPr>
        <w:t>l</w:t>
      </w:r>
      <w:r w:rsidRPr="57490200">
        <w:rPr>
          <w:sz w:val="24"/>
          <w:szCs w:val="24"/>
        </w:rPr>
        <w:t>, kell</w:t>
      </w:r>
      <w:r>
        <w:rPr>
          <w:sz w:val="24"/>
          <w:szCs w:val="24"/>
        </w:rPr>
        <w:t xml:space="preserve">el see </w:t>
      </w:r>
      <w:r w:rsidRPr="57490200">
        <w:rPr>
          <w:sz w:val="24"/>
          <w:szCs w:val="24"/>
        </w:rPr>
        <w:t>on suurem kui 85 TJ aastas</w:t>
      </w:r>
      <w:r>
        <w:rPr>
          <w:sz w:val="24"/>
          <w:szCs w:val="24"/>
        </w:rPr>
        <w:t>,</w:t>
      </w:r>
      <w:r w:rsidRPr="57490200">
        <w:rPr>
          <w:sz w:val="24"/>
          <w:szCs w:val="24"/>
        </w:rPr>
        <w:t xml:space="preserve"> </w:t>
      </w:r>
      <w:r>
        <w:rPr>
          <w:sz w:val="24"/>
          <w:szCs w:val="24"/>
        </w:rPr>
        <w:t>peab olema rakendatud</w:t>
      </w:r>
      <w:r w:rsidRPr="57490200">
        <w:rPr>
          <w:sz w:val="24"/>
          <w:szCs w:val="24"/>
        </w:rPr>
        <w:t xml:space="preserve"> energiajuhtimissüsteem</w:t>
      </w:r>
      <w:r>
        <w:rPr>
          <w:sz w:val="24"/>
          <w:szCs w:val="24"/>
        </w:rPr>
        <w:t>.</w:t>
      </w:r>
      <w:r w:rsidRPr="57490200">
        <w:rPr>
          <w:sz w:val="24"/>
          <w:szCs w:val="24"/>
        </w:rPr>
        <w:t xml:space="preserve"> </w:t>
      </w:r>
      <w:r>
        <w:rPr>
          <w:sz w:val="24"/>
          <w:szCs w:val="24"/>
        </w:rPr>
        <w:t xml:space="preserve">Selliseid </w:t>
      </w:r>
      <w:r w:rsidRPr="57490200">
        <w:rPr>
          <w:sz w:val="24"/>
          <w:szCs w:val="24"/>
        </w:rPr>
        <w:t>ettevõtteid on kokku 51 ja nende hulk on varasemaga võrreldes jäänud samaks</w:t>
      </w:r>
      <w:r>
        <w:rPr>
          <w:sz w:val="24"/>
          <w:szCs w:val="24"/>
        </w:rPr>
        <w:t>.</w:t>
      </w:r>
    </w:p>
    <w:p w14:paraId="5CF1D930" w14:textId="77777777" w:rsidR="00B731C3" w:rsidRDefault="00B731C3" w:rsidP="00B731C3">
      <w:pPr>
        <w:spacing w:after="0" w:line="240" w:lineRule="auto"/>
        <w:jc w:val="both"/>
        <w:rPr>
          <w:sz w:val="24"/>
          <w:szCs w:val="24"/>
        </w:rPr>
      </w:pPr>
      <w:r>
        <w:rPr>
          <w:sz w:val="24"/>
          <w:szCs w:val="24"/>
        </w:rPr>
        <w:t xml:space="preserve">Uus direktiiv toob mõnele ettevõttele ka leevendust. </w:t>
      </w:r>
      <w:r w:rsidRPr="57490200">
        <w:rPr>
          <w:sz w:val="24"/>
          <w:szCs w:val="24"/>
        </w:rPr>
        <w:t>Seniste suurettevõtete energiaauditite järelevalve tulemuste põhjal ei oleks tulevikus energiaauditi kohustust ~10 ettevõttel (energiatarbimine on väiksem kui 10 TJ).</w:t>
      </w:r>
      <w:r>
        <w:rPr>
          <w:sz w:val="24"/>
          <w:szCs w:val="24"/>
        </w:rPr>
        <w:t xml:space="preserve"> Ligikaudu 55 suurettevõttele jääb energiaauditi kohustus (jätkavad oma nelja-aastase intervalliga), sest nende energiatarve on 10–85 TJ vahel. 40 suurettevõtet peavad rakendama energiajuhtimissüsteemi, sest nende ettevõtete energiatarbimine on suurem kui 85 TJ.</w:t>
      </w:r>
    </w:p>
    <w:p w14:paraId="4525DBC8" w14:textId="77777777" w:rsidR="00B731C3" w:rsidRDefault="00B731C3" w:rsidP="00B731C3">
      <w:pPr>
        <w:pStyle w:val="muudetavtekst"/>
        <w:rPr>
          <w:rFonts w:asciiTheme="minorHAnsi" w:hAnsiTheme="minorHAnsi" w:cstheme="minorBidi"/>
        </w:rPr>
      </w:pPr>
      <w:r>
        <w:rPr>
          <w:rFonts w:asciiTheme="minorHAnsi" w:hAnsiTheme="minorHAnsi" w:cstheme="minorBidi"/>
        </w:rPr>
        <w:t>K</w:t>
      </w:r>
      <w:r w:rsidRPr="57490200">
        <w:rPr>
          <w:rFonts w:asciiTheme="minorHAnsi" w:hAnsiTheme="minorHAnsi" w:cstheme="minorBidi"/>
        </w:rPr>
        <w:t xml:space="preserve">õige rohkem energiaauditi kohustusega ettevõtteid on töötleva tööstuse sektoris nii praegu kui ka lähitulevikus. Võrreldes kehtiva </w:t>
      </w:r>
      <w:r>
        <w:rPr>
          <w:rFonts w:asciiTheme="minorHAnsi" w:hAnsiTheme="minorHAnsi" w:cstheme="minorBidi"/>
        </w:rPr>
        <w:t>korraga</w:t>
      </w:r>
      <w:r w:rsidRPr="57490200">
        <w:rPr>
          <w:rFonts w:asciiTheme="minorHAnsi" w:hAnsiTheme="minorHAnsi" w:cstheme="minorBidi"/>
        </w:rPr>
        <w:t xml:space="preserve"> </w:t>
      </w:r>
      <w:r>
        <w:rPr>
          <w:rFonts w:asciiTheme="minorHAnsi" w:hAnsiTheme="minorHAnsi" w:cstheme="minorBidi"/>
        </w:rPr>
        <w:t>leevenevad</w:t>
      </w:r>
      <w:r w:rsidRPr="57490200">
        <w:rPr>
          <w:rFonts w:asciiTheme="minorHAnsi" w:hAnsiTheme="minorHAnsi" w:cstheme="minorBidi"/>
        </w:rPr>
        <w:t xml:space="preserve"> finantssektori kohustused, kasvavad aga kinnisvara</w:t>
      </w:r>
      <w:r>
        <w:rPr>
          <w:rFonts w:asciiTheme="minorHAnsi" w:hAnsiTheme="minorHAnsi" w:cstheme="minorBidi"/>
        </w:rPr>
        <w:t xml:space="preserve">ettevõtetele </w:t>
      </w:r>
      <w:r w:rsidRPr="57490200">
        <w:rPr>
          <w:rFonts w:asciiTheme="minorHAnsi" w:hAnsiTheme="minorHAnsi" w:cstheme="minorBidi"/>
        </w:rPr>
        <w:t>(ärikinnisvara omaniku</w:t>
      </w:r>
      <w:r>
        <w:rPr>
          <w:rFonts w:asciiTheme="minorHAnsi" w:hAnsiTheme="minorHAnsi" w:cstheme="minorBidi"/>
        </w:rPr>
        <w:t>d, valdajad</w:t>
      </w:r>
      <w:r w:rsidRPr="57490200">
        <w:rPr>
          <w:rFonts w:asciiTheme="minorHAnsi" w:hAnsiTheme="minorHAnsi" w:cstheme="minorBidi"/>
        </w:rPr>
        <w:t>). Seega kohustus</w:t>
      </w:r>
      <w:r>
        <w:rPr>
          <w:rFonts w:asciiTheme="minorHAnsi" w:hAnsiTheme="minorHAnsi" w:cstheme="minorBidi"/>
        </w:rPr>
        <w:t xml:space="preserve"> </w:t>
      </w:r>
      <w:r w:rsidRPr="57490200">
        <w:rPr>
          <w:rFonts w:asciiTheme="minorHAnsi" w:hAnsiTheme="minorHAnsi" w:cstheme="minorBidi"/>
        </w:rPr>
        <w:t xml:space="preserve">jälgida energiakasutust liigub </w:t>
      </w:r>
      <w:r>
        <w:rPr>
          <w:rFonts w:asciiTheme="minorHAnsi" w:hAnsiTheme="minorHAnsi" w:cstheme="minorBidi"/>
        </w:rPr>
        <w:t>äri</w:t>
      </w:r>
      <w:r w:rsidRPr="57490200">
        <w:rPr>
          <w:rFonts w:asciiTheme="minorHAnsi" w:hAnsiTheme="minorHAnsi" w:cstheme="minorBidi"/>
        </w:rPr>
        <w:t>kinnisvara omanikele, ke</w:t>
      </w:r>
      <w:r>
        <w:rPr>
          <w:rFonts w:asciiTheme="minorHAnsi" w:hAnsiTheme="minorHAnsi" w:cstheme="minorBidi"/>
        </w:rPr>
        <w:t>s saavad</w:t>
      </w:r>
      <w:r w:rsidRPr="57490200">
        <w:rPr>
          <w:rFonts w:asciiTheme="minorHAnsi" w:hAnsiTheme="minorHAnsi" w:cstheme="minorBidi"/>
        </w:rPr>
        <w:t xml:space="preserve"> ka parandusmeetmeid ellu viia.</w:t>
      </w:r>
    </w:p>
    <w:p w14:paraId="586D5D39" w14:textId="77777777" w:rsidR="00B731C3" w:rsidRDefault="00B731C3" w:rsidP="00B731C3">
      <w:pPr>
        <w:pStyle w:val="muudetavtekst"/>
        <w:rPr>
          <w:rFonts w:asciiTheme="minorHAnsi" w:hAnsiTheme="minorHAnsi" w:cstheme="minorHAnsi"/>
        </w:rPr>
      </w:pPr>
    </w:p>
    <w:p w14:paraId="769E3E2D" w14:textId="77777777" w:rsidR="00B731C3" w:rsidRDefault="00B731C3" w:rsidP="00B731C3">
      <w:pPr>
        <w:pStyle w:val="muudetavtekst"/>
        <w:rPr>
          <w:rFonts w:asciiTheme="minorHAnsi" w:hAnsiTheme="minorHAnsi" w:cstheme="minorBidi"/>
        </w:rPr>
      </w:pPr>
      <w:r w:rsidRPr="57490200">
        <w:rPr>
          <w:rFonts w:asciiTheme="minorHAnsi" w:hAnsiTheme="minorHAnsi" w:cstheme="minorBidi"/>
          <w:b/>
          <w:bCs/>
        </w:rPr>
        <w:t xml:space="preserve">Punktiga </w:t>
      </w:r>
      <w:r>
        <w:rPr>
          <w:rFonts w:asciiTheme="minorHAnsi" w:hAnsiTheme="minorHAnsi" w:cstheme="minorBidi"/>
          <w:b/>
          <w:bCs/>
        </w:rPr>
        <w:t>47</w:t>
      </w:r>
      <w:r w:rsidRPr="57490200">
        <w:rPr>
          <w:rFonts w:asciiTheme="minorHAnsi" w:hAnsiTheme="minorHAnsi" w:cstheme="minorBidi"/>
        </w:rPr>
        <w:t xml:space="preserve"> lisatakse EnKSi </w:t>
      </w:r>
      <w:r w:rsidRPr="51248E01">
        <w:rPr>
          <w:rFonts w:asciiTheme="minorHAnsi" w:hAnsiTheme="minorHAnsi" w:cstheme="minorBidi"/>
        </w:rPr>
        <w:t>§</w:t>
      </w:r>
      <w:r w:rsidRPr="57490200">
        <w:rPr>
          <w:rFonts w:asciiTheme="minorHAnsi" w:hAnsiTheme="minorHAnsi" w:cstheme="minorBidi"/>
        </w:rPr>
        <w:t xml:space="preserve"> 28 lõige 1, mis annab ettevõttele energiaauditi asemel võimaluse kasutada energiatõhususe lepinguid siis kui need täidavad energiajuhtimissüsteemi vajalikke elemente ja vastavad energiatõhususe lepingu miinimumnõutele</w:t>
      </w:r>
      <w:r w:rsidRPr="57490200">
        <w:rPr>
          <w:rStyle w:val="Allmrkuseviide"/>
          <w:rFonts w:asciiTheme="minorHAnsi" w:hAnsiTheme="minorHAnsi" w:cstheme="minorBidi"/>
        </w:rPr>
        <w:footnoteReference w:id="64"/>
      </w:r>
      <w:r w:rsidRPr="57490200">
        <w:rPr>
          <w:rFonts w:asciiTheme="minorHAnsi" w:hAnsiTheme="minorHAnsi" w:cstheme="minorBidi"/>
        </w:rPr>
        <w:t xml:space="preserve"> .</w:t>
      </w:r>
      <w:r>
        <w:rPr>
          <w:rFonts w:asciiTheme="minorHAnsi" w:hAnsiTheme="minorHAnsi" w:cstheme="minorBidi"/>
        </w:rPr>
        <w:t xml:space="preserve"> Eestis sellised lepingud ei ole levinud, kuid võimaluse loomisega võib tekkida selline energiatõhususe turg. </w:t>
      </w:r>
    </w:p>
    <w:p w14:paraId="2FC448D2" w14:textId="77777777" w:rsidR="00B731C3" w:rsidRDefault="00B731C3" w:rsidP="00B731C3">
      <w:pPr>
        <w:pStyle w:val="muudetavtekst"/>
        <w:rPr>
          <w:rFonts w:asciiTheme="minorHAnsi" w:hAnsiTheme="minorHAnsi" w:cstheme="minorHAnsi"/>
        </w:rPr>
      </w:pPr>
    </w:p>
    <w:p w14:paraId="182A7F87" w14:textId="77777777" w:rsidR="00B731C3" w:rsidRDefault="00B731C3" w:rsidP="00B731C3">
      <w:pPr>
        <w:pStyle w:val="muudetavtekst"/>
        <w:rPr>
          <w:rFonts w:asciiTheme="minorHAnsi" w:hAnsiTheme="minorHAnsi" w:cstheme="minorHAnsi"/>
        </w:rPr>
      </w:pPr>
      <w:r w:rsidRPr="00C1469A">
        <w:rPr>
          <w:rFonts w:asciiTheme="minorHAnsi" w:hAnsiTheme="minorHAnsi" w:cstheme="minorHAnsi"/>
          <w:b/>
          <w:bCs/>
        </w:rPr>
        <w:t xml:space="preserve">Punktiga </w:t>
      </w:r>
      <w:r>
        <w:rPr>
          <w:rFonts w:asciiTheme="minorHAnsi" w:hAnsiTheme="minorHAnsi" w:cstheme="minorHAnsi"/>
          <w:b/>
          <w:bCs/>
        </w:rPr>
        <w:t>48</w:t>
      </w:r>
      <w:r>
        <w:rPr>
          <w:rFonts w:asciiTheme="minorHAnsi" w:hAnsiTheme="minorHAnsi" w:cstheme="minorHAnsi"/>
        </w:rPr>
        <w:t xml:space="preserve"> lisatakse EnKSi </w:t>
      </w:r>
      <w:r w:rsidRPr="51248E01">
        <w:rPr>
          <w:rFonts w:asciiTheme="minorHAnsi" w:hAnsiTheme="minorHAnsi" w:cstheme="minorBidi"/>
        </w:rPr>
        <w:t>§</w:t>
      </w:r>
      <w:r>
        <w:rPr>
          <w:rFonts w:asciiTheme="minorHAnsi" w:hAnsiTheme="minorHAnsi" w:cstheme="minorBidi"/>
        </w:rPr>
        <w:t xml:space="preserve"> </w:t>
      </w:r>
      <w:r>
        <w:rPr>
          <w:rFonts w:asciiTheme="minorHAnsi" w:hAnsiTheme="minorHAnsi" w:cstheme="minorHAnsi"/>
        </w:rPr>
        <w:t>28</w:t>
      </w:r>
      <w:r>
        <w:rPr>
          <w:rFonts w:asciiTheme="minorHAnsi" w:hAnsiTheme="minorHAnsi" w:cstheme="minorHAnsi"/>
          <w:vertAlign w:val="superscript"/>
        </w:rPr>
        <w:t>1</w:t>
      </w:r>
      <w:r>
        <w:rPr>
          <w:rFonts w:asciiTheme="minorHAnsi" w:hAnsiTheme="minorHAnsi" w:cstheme="minorHAnsi"/>
        </w:rPr>
        <w:t xml:space="preserve"> (lõiked 1–7). Võetakse üle direktiivi artikke 12. </w:t>
      </w:r>
    </w:p>
    <w:p w14:paraId="316B0C5A" w14:textId="77777777" w:rsidR="00B731C3" w:rsidRDefault="00B731C3" w:rsidP="00B731C3">
      <w:pPr>
        <w:pStyle w:val="muudetavtekst"/>
        <w:rPr>
          <w:rFonts w:asciiTheme="minorHAnsi" w:hAnsiTheme="minorHAnsi" w:cstheme="minorBidi"/>
        </w:rPr>
      </w:pPr>
      <w:r w:rsidRPr="57490200">
        <w:rPr>
          <w:rFonts w:asciiTheme="minorHAnsi" w:hAnsiTheme="minorHAnsi" w:cstheme="minorBidi"/>
        </w:rPr>
        <w:t>Uus paragrahv sätestab nõuded andmekeskustele. Näiteks tekib andmekeskustele kohustus raporteerida oma energiakasutust Euroopa andmebaasi ReportENER</w:t>
      </w:r>
      <w:r>
        <w:rPr>
          <w:rStyle w:val="Allmrkuseviide"/>
          <w:rFonts w:asciiTheme="minorHAnsi" w:hAnsiTheme="minorHAnsi" w:cstheme="minorBidi"/>
        </w:rPr>
        <w:footnoteReference w:id="65"/>
      </w:r>
      <w:r>
        <w:rPr>
          <w:rFonts w:asciiTheme="minorHAnsi" w:hAnsiTheme="minorHAnsi" w:cstheme="minorBidi"/>
        </w:rPr>
        <w:t xml:space="preserve"> kaudu</w:t>
      </w:r>
      <w:r w:rsidRPr="57490200">
        <w:rPr>
          <w:rFonts w:asciiTheme="minorHAnsi" w:hAnsiTheme="minorHAnsi" w:cstheme="minorBidi"/>
        </w:rPr>
        <w:t>.</w:t>
      </w:r>
    </w:p>
    <w:p w14:paraId="72C595E9" w14:textId="77777777" w:rsidR="00B731C3" w:rsidRDefault="00B731C3" w:rsidP="00B731C3">
      <w:pPr>
        <w:pStyle w:val="muudetavtekst"/>
        <w:rPr>
          <w:rFonts w:asciiTheme="minorHAnsi" w:hAnsiTheme="minorHAnsi" w:cstheme="minorBidi"/>
        </w:rPr>
      </w:pPr>
      <w:r w:rsidRPr="57490200">
        <w:rPr>
          <w:rFonts w:asciiTheme="minorHAnsi" w:hAnsiTheme="minorHAnsi" w:cstheme="minorBidi"/>
        </w:rPr>
        <w:t xml:space="preserve">Andmed ja tehisintellekt on eelduseks erinevate majandusmudelite </w:t>
      </w:r>
      <w:r>
        <w:rPr>
          <w:rFonts w:asciiTheme="minorHAnsi" w:hAnsiTheme="minorHAnsi" w:cstheme="minorBidi"/>
        </w:rPr>
        <w:t>tekkele</w:t>
      </w:r>
      <w:r w:rsidRPr="57490200">
        <w:rPr>
          <w:rFonts w:asciiTheme="minorHAnsi" w:hAnsiTheme="minorHAnsi" w:cstheme="minorBidi"/>
        </w:rPr>
        <w:t xml:space="preserve"> nii Eestis, Euroopas kui </w:t>
      </w:r>
      <w:r>
        <w:rPr>
          <w:rFonts w:asciiTheme="minorHAnsi" w:hAnsiTheme="minorHAnsi" w:cstheme="minorBidi"/>
        </w:rPr>
        <w:t>ka</w:t>
      </w:r>
      <w:r w:rsidRPr="57490200">
        <w:rPr>
          <w:rFonts w:asciiTheme="minorHAnsi" w:hAnsiTheme="minorHAnsi" w:cstheme="minorBidi"/>
        </w:rPr>
        <w:t xml:space="preserve"> kogu maailma. Samuti on tehisintellekt ja andmed aktiivses kasutuses</w:t>
      </w:r>
      <w:r>
        <w:rPr>
          <w:rFonts w:asciiTheme="minorHAnsi" w:hAnsiTheme="minorHAnsi" w:cstheme="minorBidi"/>
        </w:rPr>
        <w:t xml:space="preserve"> </w:t>
      </w:r>
      <w:r w:rsidRPr="57490200">
        <w:rPr>
          <w:rFonts w:asciiTheme="minorHAnsi" w:hAnsiTheme="minorHAnsi" w:cstheme="minorBidi"/>
        </w:rPr>
        <w:t>uute energiavõrkude haldamisel ja juhtimisel. Samas on andmekeskused aga moodustamas üha suuremat osa energia lõpptarbimisest, eriti suur mõju on elektrienergia tarbimisele. Info- ja kommunikatsioonitehnoloogia (IKT) sektor on energiatarbimise seisukohast järjest olulisem. Prognooside kohaselt moodustab andmekeskuste elektrinõudlus 2030. aastal</w:t>
      </w:r>
      <w:r>
        <w:rPr>
          <w:rFonts w:asciiTheme="minorHAnsi" w:hAnsiTheme="minorHAnsi" w:cstheme="minorBidi"/>
        </w:rPr>
        <w:t xml:space="preserve"> ELi</w:t>
      </w:r>
      <w:r w:rsidRPr="57490200">
        <w:rPr>
          <w:rFonts w:asciiTheme="minorHAnsi" w:hAnsiTheme="minorHAnsi" w:cstheme="minorBidi"/>
        </w:rPr>
        <w:t xml:space="preserve"> kogunõudlusest 3,2%, mis tähendab ligikaudu 28% kasvu alates 2018. aastast. Euroopa Liidu digistrateegias</w:t>
      </w:r>
      <w:r w:rsidRPr="57490200">
        <w:rPr>
          <w:rStyle w:val="Allmrkuseviide"/>
          <w:rFonts w:asciiTheme="minorHAnsi" w:hAnsiTheme="minorHAnsi" w:cstheme="minorBidi"/>
        </w:rPr>
        <w:footnoteReference w:id="66"/>
      </w:r>
      <w:r w:rsidRPr="57490200">
        <w:rPr>
          <w:rFonts w:asciiTheme="minorHAnsi" w:hAnsiTheme="minorHAnsi" w:cstheme="minorBidi"/>
        </w:rPr>
        <w:t xml:space="preserve"> rõhutatakse vajadust väga energiatõhusate ja kestlike andmekeskuste järele ning kutsutakse telekommunikatsioonivõrgu operaatoreid üles </w:t>
      </w:r>
      <w:r>
        <w:rPr>
          <w:rFonts w:asciiTheme="minorHAnsi" w:hAnsiTheme="minorHAnsi" w:cstheme="minorBidi"/>
        </w:rPr>
        <w:t>muutma</w:t>
      </w:r>
      <w:r w:rsidRPr="57490200">
        <w:rPr>
          <w:rFonts w:asciiTheme="minorHAnsi" w:hAnsiTheme="minorHAnsi" w:cstheme="minorBidi"/>
        </w:rPr>
        <w:t xml:space="preserve"> </w:t>
      </w:r>
      <w:r>
        <w:rPr>
          <w:rFonts w:asciiTheme="minorHAnsi" w:hAnsiTheme="minorHAnsi" w:cstheme="minorBidi"/>
        </w:rPr>
        <w:t>oma</w:t>
      </w:r>
      <w:r w:rsidRPr="57490200">
        <w:rPr>
          <w:rFonts w:asciiTheme="minorHAnsi" w:hAnsiTheme="minorHAnsi" w:cstheme="minorBidi"/>
        </w:rPr>
        <w:t xml:space="preserve"> keskkonnajäl</w:t>
      </w:r>
      <w:r>
        <w:rPr>
          <w:rFonts w:asciiTheme="minorHAnsi" w:hAnsiTheme="minorHAnsi" w:cstheme="minorBidi"/>
        </w:rPr>
        <w:t>g</w:t>
      </w:r>
      <w:r w:rsidRPr="57490200">
        <w:rPr>
          <w:rFonts w:asciiTheme="minorHAnsi" w:hAnsiTheme="minorHAnsi" w:cstheme="minorBidi"/>
        </w:rPr>
        <w:t xml:space="preserve"> läbipaistv</w:t>
      </w:r>
      <w:r>
        <w:rPr>
          <w:rFonts w:asciiTheme="minorHAnsi" w:hAnsiTheme="minorHAnsi" w:cstheme="minorBidi"/>
        </w:rPr>
        <w:t>aks.</w:t>
      </w:r>
      <w:r w:rsidRPr="57490200">
        <w:rPr>
          <w:rFonts w:asciiTheme="minorHAnsi" w:hAnsiTheme="minorHAnsi" w:cstheme="minorBidi"/>
        </w:rPr>
        <w:t xml:space="preserve"> Mitmeid uuringuid</w:t>
      </w:r>
      <w:r w:rsidRPr="57490200">
        <w:rPr>
          <w:rStyle w:val="Allmrkuseviide"/>
          <w:rFonts w:asciiTheme="minorHAnsi" w:hAnsiTheme="minorHAnsi" w:cstheme="minorBidi"/>
        </w:rPr>
        <w:footnoteReference w:id="67"/>
      </w:r>
      <w:r w:rsidRPr="57490200">
        <w:rPr>
          <w:rFonts w:asciiTheme="minorHAnsi" w:hAnsiTheme="minorHAnsi" w:cstheme="minorBidi"/>
        </w:rPr>
        <w:t xml:space="preserve"> andmekeskuste mõju kohta energiasektorile on teinud ka rahvusvaheline energiaagentuur, mi</w:t>
      </w:r>
      <w:r>
        <w:rPr>
          <w:rFonts w:asciiTheme="minorHAnsi" w:hAnsiTheme="minorHAnsi" w:cstheme="minorBidi"/>
        </w:rPr>
        <w:t xml:space="preserve">lles </w:t>
      </w:r>
      <w:r w:rsidRPr="57490200">
        <w:rPr>
          <w:rFonts w:asciiTheme="minorHAnsi" w:hAnsiTheme="minorHAnsi" w:cstheme="minorBidi"/>
        </w:rPr>
        <w:t>tõde</w:t>
      </w:r>
      <w:r>
        <w:rPr>
          <w:rFonts w:asciiTheme="minorHAnsi" w:hAnsiTheme="minorHAnsi" w:cstheme="minorBidi"/>
        </w:rPr>
        <w:t>takse</w:t>
      </w:r>
      <w:r w:rsidRPr="57490200">
        <w:rPr>
          <w:rFonts w:asciiTheme="minorHAnsi" w:hAnsiTheme="minorHAnsi" w:cstheme="minorBidi"/>
        </w:rPr>
        <w:t xml:space="preserve"> samuti, et andmed võimal</w:t>
      </w:r>
      <w:r>
        <w:rPr>
          <w:rFonts w:asciiTheme="minorHAnsi" w:hAnsiTheme="minorHAnsi" w:cstheme="minorBidi"/>
        </w:rPr>
        <w:t>davad</w:t>
      </w:r>
      <w:r w:rsidRPr="57490200">
        <w:rPr>
          <w:rFonts w:asciiTheme="minorHAnsi" w:hAnsiTheme="minorHAnsi" w:cstheme="minorBidi"/>
        </w:rPr>
        <w:t xml:space="preserve"> kasutada energiat tõhusamalt, kuid </w:t>
      </w:r>
      <w:r>
        <w:rPr>
          <w:rFonts w:asciiTheme="minorHAnsi" w:hAnsiTheme="minorHAnsi" w:cstheme="minorBidi"/>
        </w:rPr>
        <w:t xml:space="preserve">nende </w:t>
      </w:r>
      <w:r w:rsidRPr="57490200">
        <w:rPr>
          <w:rFonts w:asciiTheme="minorHAnsi" w:hAnsiTheme="minorHAnsi" w:cstheme="minorBidi"/>
        </w:rPr>
        <w:t>andmete kogumisel ja töötlemisel on üha kasvav mõju energia kasutusele.</w:t>
      </w:r>
    </w:p>
    <w:p w14:paraId="2114F4D9" w14:textId="77777777" w:rsidR="00B731C3" w:rsidRPr="00695B53" w:rsidRDefault="00B731C3" w:rsidP="00B731C3">
      <w:pPr>
        <w:pStyle w:val="muudetavtekst"/>
        <w:rPr>
          <w:rFonts w:asciiTheme="minorHAnsi" w:hAnsiTheme="minorHAnsi" w:cstheme="minorBidi"/>
        </w:rPr>
      </w:pPr>
      <w:r w:rsidRPr="57490200">
        <w:rPr>
          <w:rFonts w:asciiTheme="minorHAnsi" w:hAnsiTheme="minorHAnsi" w:cstheme="minorBidi"/>
        </w:rPr>
        <w:t xml:space="preserve">Esimene samm andmekeskuste mõju selgitamiseks ja edasiseks paremaks juhtimiseks on nende </w:t>
      </w:r>
      <w:r>
        <w:rPr>
          <w:rFonts w:asciiTheme="minorHAnsi" w:hAnsiTheme="minorHAnsi" w:cstheme="minorBidi"/>
        </w:rPr>
        <w:t xml:space="preserve">enda </w:t>
      </w:r>
      <w:r w:rsidRPr="57490200">
        <w:rPr>
          <w:rFonts w:asciiTheme="minorHAnsi" w:hAnsiTheme="minorHAnsi" w:cstheme="minorBidi"/>
        </w:rPr>
        <w:t>energiatarbimise andmete kogumine. Andmete kogumise on Euroopa Komisjon korraldanud keskselt ReportENER süsteemi</w:t>
      </w:r>
      <w:r>
        <w:rPr>
          <w:rFonts w:asciiTheme="minorHAnsi" w:hAnsiTheme="minorHAnsi" w:cstheme="minorBidi"/>
        </w:rPr>
        <w:t xml:space="preserve"> kaudu</w:t>
      </w:r>
      <w:r w:rsidRPr="57490200">
        <w:rPr>
          <w:rFonts w:asciiTheme="minorHAnsi" w:hAnsiTheme="minorHAnsi" w:cstheme="minorBidi"/>
        </w:rPr>
        <w:t>, mis võtab riikidelt koormuse sell</w:t>
      </w:r>
      <w:r>
        <w:rPr>
          <w:rFonts w:asciiTheme="minorHAnsi" w:hAnsiTheme="minorHAnsi" w:cstheme="minorBidi"/>
        </w:rPr>
        <w:t>is</w:t>
      </w:r>
      <w:r w:rsidRPr="57490200">
        <w:rPr>
          <w:rFonts w:asciiTheme="minorHAnsi" w:hAnsiTheme="minorHAnsi" w:cstheme="minorBidi"/>
        </w:rPr>
        <w:t>e süsteemi ülesehitamiseks.</w:t>
      </w:r>
    </w:p>
    <w:p w14:paraId="3C01DD35" w14:textId="77777777" w:rsidR="00B731C3" w:rsidRDefault="00B731C3" w:rsidP="00B731C3">
      <w:pPr>
        <w:pStyle w:val="muudetavtekst"/>
        <w:rPr>
          <w:rFonts w:asciiTheme="minorHAnsi" w:eastAsiaTheme="minorEastAsia" w:hAnsiTheme="minorHAnsi" w:cstheme="minorBidi"/>
          <w:lang w:eastAsia="en-US"/>
        </w:rPr>
      </w:pPr>
      <w:r w:rsidRPr="57490200">
        <w:rPr>
          <w:rFonts w:asciiTheme="minorHAnsi" w:hAnsiTheme="minorHAnsi" w:cstheme="minorBidi"/>
        </w:rPr>
        <w:t>Uusi nõude</w:t>
      </w:r>
      <w:r>
        <w:rPr>
          <w:rFonts w:asciiTheme="minorHAnsi" w:hAnsiTheme="minorHAnsi" w:cstheme="minorBidi"/>
        </w:rPr>
        <w:t>i</w:t>
      </w:r>
      <w:r w:rsidRPr="57490200">
        <w:rPr>
          <w:rFonts w:asciiTheme="minorHAnsi" w:hAnsiTheme="minorHAnsi" w:cstheme="minorBidi"/>
        </w:rPr>
        <w:t>d ja raporteeritava</w:t>
      </w:r>
      <w:r>
        <w:rPr>
          <w:rFonts w:asciiTheme="minorHAnsi" w:hAnsiTheme="minorHAnsi" w:cstheme="minorBidi"/>
        </w:rPr>
        <w:t>i</w:t>
      </w:r>
      <w:r w:rsidRPr="57490200">
        <w:rPr>
          <w:rFonts w:asciiTheme="minorHAnsi" w:hAnsiTheme="minorHAnsi" w:cstheme="minorBidi"/>
        </w:rPr>
        <w:t xml:space="preserve">d tulemusnäitajaid selgitab ja täpsustab otsekohalduv määrus </w:t>
      </w:r>
      <w:hyperlink r:id="rId33">
        <w:r w:rsidRPr="57490200">
          <w:rPr>
            <w:rFonts w:asciiTheme="minorHAnsi" w:eastAsiaTheme="minorEastAsia" w:hAnsiTheme="minorHAnsi" w:cstheme="minorBidi"/>
            <w:color w:val="0000FF"/>
            <w:u w:val="single"/>
            <w:lang w:eastAsia="en-US"/>
          </w:rPr>
          <w:t>Komisjoni delegeeritud määrus (EL) 2024/1364, 14. märts 2024, andmekeskuste jaoks liidu ühise hindamiskava kehtestamise esimese etapi kohta</w:t>
        </w:r>
      </w:hyperlink>
      <w:r w:rsidRPr="57490200">
        <w:rPr>
          <w:rFonts w:asciiTheme="minorHAnsi" w:eastAsiaTheme="minorEastAsia" w:hAnsiTheme="minorHAnsi" w:cstheme="minorBidi"/>
          <w:lang w:eastAsia="en-US"/>
        </w:rPr>
        <w:t>.</w:t>
      </w:r>
    </w:p>
    <w:p w14:paraId="2E9012D2" w14:textId="77777777" w:rsidR="00B731C3" w:rsidRDefault="00B731C3" w:rsidP="00B731C3">
      <w:pPr>
        <w:pStyle w:val="muudetavtekst"/>
        <w:rPr>
          <w:rFonts w:asciiTheme="minorHAnsi" w:eastAsiaTheme="minorEastAsia" w:hAnsiTheme="minorHAnsi" w:cstheme="minorBidi"/>
          <w:lang w:eastAsia="en-US"/>
        </w:rPr>
      </w:pPr>
      <w:r w:rsidRPr="57490200">
        <w:rPr>
          <w:rFonts w:asciiTheme="minorHAnsi" w:eastAsiaTheme="minorEastAsia" w:hAnsiTheme="minorHAnsi" w:cstheme="minorBidi"/>
          <w:lang w:eastAsia="en-US"/>
        </w:rPr>
        <w:t>2025</w:t>
      </w:r>
      <w:r>
        <w:rPr>
          <w:rFonts w:asciiTheme="minorHAnsi" w:eastAsiaTheme="minorEastAsia" w:hAnsiTheme="minorHAnsi" w:cstheme="minorBidi"/>
          <w:lang w:eastAsia="en-US"/>
        </w:rPr>
        <w:t>.</w:t>
      </w:r>
      <w:r w:rsidRPr="57490200">
        <w:rPr>
          <w:rFonts w:asciiTheme="minorHAnsi" w:eastAsiaTheme="minorEastAsia" w:hAnsiTheme="minorHAnsi" w:cstheme="minorBidi"/>
          <w:lang w:eastAsia="en-US"/>
        </w:rPr>
        <w:t xml:space="preserve"> aasta kevadel-suvel on Euroopa Komisjon </w:t>
      </w:r>
      <w:r>
        <w:rPr>
          <w:rFonts w:asciiTheme="minorHAnsi" w:eastAsiaTheme="minorEastAsia" w:hAnsiTheme="minorHAnsi" w:cstheme="minorBidi"/>
          <w:lang w:eastAsia="en-US"/>
        </w:rPr>
        <w:t>tegemas</w:t>
      </w:r>
      <w:r w:rsidRPr="57490200">
        <w:rPr>
          <w:rFonts w:asciiTheme="minorHAnsi" w:eastAsiaTheme="minorEastAsia" w:hAnsiTheme="minorHAnsi" w:cstheme="minorBidi"/>
          <w:lang w:eastAsia="en-US"/>
        </w:rPr>
        <w:t xml:space="preserve"> </w:t>
      </w:r>
      <w:r>
        <w:rPr>
          <w:rFonts w:asciiTheme="minorHAnsi" w:eastAsiaTheme="minorEastAsia" w:hAnsiTheme="minorHAnsi" w:cstheme="minorBidi"/>
          <w:lang w:eastAsia="en-US"/>
        </w:rPr>
        <w:t>analüüsi</w:t>
      </w:r>
      <w:r>
        <w:rPr>
          <w:rStyle w:val="Allmrkuseviide"/>
          <w:rFonts w:asciiTheme="minorHAnsi" w:eastAsiaTheme="minorEastAsia" w:hAnsiTheme="minorHAnsi" w:cstheme="minorBidi"/>
          <w:lang w:eastAsia="en-US"/>
        </w:rPr>
        <w:footnoteReference w:id="68"/>
      </w:r>
      <w:r w:rsidRPr="57490200">
        <w:rPr>
          <w:rFonts w:asciiTheme="minorHAnsi" w:eastAsiaTheme="minorEastAsia" w:hAnsiTheme="minorHAnsi" w:cstheme="minorBidi"/>
          <w:lang w:eastAsia="en-US"/>
        </w:rPr>
        <w:t>, mille tulemusena koostab Euroopa Parlamendile ja nõukogule aruande, millele lisatakse asjakohasel juhul seadusandlikud ettepanekud energiatõhususe parandamise edasiste meetmete, sealhulgas miinimumjõudluse standardite kehtestamise kohta, hinnangud kliimaneutraalsele andmekeskuste sektorile ülemineku teostatavuse kohta ning ettepanekud ajavahemiku kohta, mille jooksul pea</w:t>
      </w:r>
      <w:r>
        <w:rPr>
          <w:rFonts w:asciiTheme="minorHAnsi" w:eastAsiaTheme="minorEastAsia" w:hAnsiTheme="minorHAnsi" w:cstheme="minorBidi"/>
          <w:lang w:eastAsia="en-US"/>
        </w:rPr>
        <w:t>ksid</w:t>
      </w:r>
      <w:r w:rsidRPr="57490200">
        <w:rPr>
          <w:rFonts w:asciiTheme="minorHAnsi" w:eastAsiaTheme="minorEastAsia" w:hAnsiTheme="minorHAnsi" w:cstheme="minorBidi"/>
          <w:lang w:eastAsia="en-US"/>
        </w:rPr>
        <w:t xml:space="preserve"> olemasolevad andmekeskused saavutama</w:t>
      </w:r>
      <w:r>
        <w:rPr>
          <w:rFonts w:asciiTheme="minorHAnsi" w:eastAsiaTheme="minorEastAsia" w:hAnsiTheme="minorHAnsi" w:cstheme="minorBidi"/>
          <w:lang w:eastAsia="en-US"/>
        </w:rPr>
        <w:t xml:space="preserve"> miinimumnõuded.</w:t>
      </w:r>
    </w:p>
    <w:p w14:paraId="682ED096" w14:textId="77777777" w:rsidR="00B731C3" w:rsidRDefault="00B731C3" w:rsidP="00B731C3">
      <w:pPr>
        <w:pStyle w:val="muudetavtekst"/>
        <w:rPr>
          <w:rFonts w:asciiTheme="minorHAnsi" w:eastAsiaTheme="minorHAnsi" w:hAnsiTheme="minorHAnsi" w:cstheme="minorBidi"/>
          <w:lang w:eastAsia="en-US"/>
        </w:rPr>
      </w:pPr>
    </w:p>
    <w:p w14:paraId="67050393" w14:textId="77777777" w:rsidR="00B731C3" w:rsidRPr="00695B53" w:rsidRDefault="00B731C3" w:rsidP="00B731C3">
      <w:pPr>
        <w:pStyle w:val="muudetavtekst"/>
        <w:rPr>
          <w:rFonts w:asciiTheme="minorHAnsi" w:eastAsiaTheme="minorEastAsia" w:hAnsiTheme="minorHAnsi" w:cstheme="minorBidi"/>
          <w:lang w:eastAsia="en-US"/>
        </w:rPr>
      </w:pPr>
      <w:r w:rsidRPr="57490200">
        <w:rPr>
          <w:rFonts w:asciiTheme="minorHAnsi" w:eastAsiaTheme="minorEastAsia" w:hAnsiTheme="minorHAnsi" w:cstheme="minorBidi"/>
          <w:lang w:eastAsia="en-US"/>
        </w:rPr>
        <w:t xml:space="preserve">Energiatõhususe koordinaator on kaasanud uuringusse juba Justiits- ja </w:t>
      </w:r>
      <w:r>
        <w:rPr>
          <w:rFonts w:asciiTheme="minorHAnsi" w:eastAsiaTheme="minorEastAsia" w:hAnsiTheme="minorHAnsi" w:cstheme="minorBidi"/>
          <w:lang w:eastAsia="en-US"/>
        </w:rPr>
        <w:t>D</w:t>
      </w:r>
      <w:r w:rsidRPr="57490200">
        <w:rPr>
          <w:rFonts w:asciiTheme="minorHAnsi" w:eastAsiaTheme="minorEastAsia" w:hAnsiTheme="minorHAnsi" w:cstheme="minorBidi"/>
          <w:lang w:eastAsia="en-US"/>
        </w:rPr>
        <w:t xml:space="preserve">igiministeeriumi </w:t>
      </w:r>
      <w:r>
        <w:rPr>
          <w:rFonts w:asciiTheme="minorHAnsi" w:eastAsiaTheme="minorEastAsia" w:hAnsiTheme="minorHAnsi" w:cstheme="minorBidi"/>
          <w:lang w:eastAsia="en-US"/>
        </w:rPr>
        <w:t>ning</w:t>
      </w:r>
      <w:r w:rsidRPr="57490200">
        <w:rPr>
          <w:rFonts w:asciiTheme="minorHAnsi" w:eastAsiaTheme="minorEastAsia" w:hAnsiTheme="minorHAnsi" w:cstheme="minorBidi"/>
          <w:lang w:eastAsia="en-US"/>
        </w:rPr>
        <w:t xml:space="preserve"> Eesti Infotehnoloogia ja Telekommunikatsiooni Liidu, et hinnata võimalike ettepanekute mõju sektorile.</w:t>
      </w:r>
    </w:p>
    <w:p w14:paraId="46670C9F" w14:textId="77777777" w:rsidR="00B731C3" w:rsidRDefault="00B731C3" w:rsidP="00B731C3">
      <w:pPr>
        <w:pStyle w:val="muudetavtekst"/>
        <w:rPr>
          <w:rFonts w:asciiTheme="minorHAnsi" w:hAnsiTheme="minorHAnsi" w:cstheme="minorHAnsi"/>
        </w:rPr>
      </w:pPr>
    </w:p>
    <w:p w14:paraId="7A5C1104" w14:textId="77777777" w:rsidR="00B731C3" w:rsidRDefault="00B731C3" w:rsidP="00B731C3">
      <w:pPr>
        <w:pStyle w:val="muudetavtekst"/>
        <w:rPr>
          <w:rFonts w:asciiTheme="minorHAnsi" w:hAnsiTheme="minorHAnsi" w:cstheme="minorBidi"/>
        </w:rPr>
      </w:pPr>
      <w:r w:rsidRPr="57490200">
        <w:rPr>
          <w:rFonts w:asciiTheme="minorHAnsi" w:hAnsiTheme="minorHAnsi" w:cstheme="minorBidi"/>
          <w:u w:val="single"/>
        </w:rPr>
        <w:t>Lõike</w:t>
      </w:r>
      <w:r>
        <w:rPr>
          <w:rFonts w:asciiTheme="minorHAnsi" w:hAnsiTheme="minorHAnsi" w:cstheme="minorBidi"/>
          <w:u w:val="single"/>
        </w:rPr>
        <w:t>s</w:t>
      </w:r>
      <w:r w:rsidRPr="57490200">
        <w:rPr>
          <w:rFonts w:asciiTheme="minorHAnsi" w:hAnsiTheme="minorHAnsi" w:cstheme="minorBidi"/>
          <w:u w:val="single"/>
        </w:rPr>
        <w:t xml:space="preserve"> 1</w:t>
      </w:r>
      <w:r w:rsidRPr="57490200">
        <w:rPr>
          <w:rFonts w:asciiTheme="minorHAnsi" w:hAnsiTheme="minorHAnsi" w:cstheme="minorBidi"/>
        </w:rPr>
        <w:t xml:space="preserve"> sätestatakse andmekeskuse mõiste. Andmekeskus võib olla ka rajatiste rühm, näiteks linnak või park, kus asub rohkem kui üks andmekeskus.</w:t>
      </w:r>
      <w:r>
        <w:rPr>
          <w:rFonts w:asciiTheme="minorHAnsi" w:hAnsiTheme="minorHAnsi" w:cstheme="minorBidi"/>
        </w:rPr>
        <w:t xml:space="preserve"> Mõiste tuleneb Euroopa Parlamendi ja Nõukogu määrusest </w:t>
      </w:r>
      <w:r w:rsidRPr="00CB71DC">
        <w:rPr>
          <w:rFonts w:asciiTheme="minorHAnsi" w:hAnsiTheme="minorHAnsi" w:cstheme="minorBidi"/>
        </w:rPr>
        <w:t>nr 1099/2008,</w:t>
      </w:r>
      <w:r>
        <w:rPr>
          <w:rFonts w:asciiTheme="minorHAnsi" w:hAnsiTheme="minorHAnsi" w:cstheme="minorBidi"/>
        </w:rPr>
        <w:t xml:space="preserve"> </w:t>
      </w:r>
      <w:r w:rsidRPr="00CB71DC">
        <w:rPr>
          <w:rFonts w:asciiTheme="minorHAnsi" w:hAnsiTheme="minorHAnsi" w:cstheme="minorBidi"/>
        </w:rPr>
        <w:t>22. oktoober 2008,</w:t>
      </w:r>
      <w:r>
        <w:rPr>
          <w:rFonts w:asciiTheme="minorHAnsi" w:hAnsiTheme="minorHAnsi" w:cstheme="minorBidi"/>
        </w:rPr>
        <w:t xml:space="preserve"> </w:t>
      </w:r>
      <w:r w:rsidRPr="00CB71DC">
        <w:rPr>
          <w:rFonts w:asciiTheme="minorHAnsi" w:hAnsiTheme="minorHAnsi" w:cstheme="minorBidi"/>
        </w:rPr>
        <w:t>energiastatistika kohta</w:t>
      </w:r>
      <w:r>
        <w:rPr>
          <w:rFonts w:asciiTheme="minorHAnsi" w:hAnsiTheme="minorHAnsi" w:cstheme="minorBidi"/>
        </w:rPr>
        <w:t xml:space="preserve"> punktist </w:t>
      </w:r>
      <w:r w:rsidRPr="0066775B">
        <w:rPr>
          <w:rFonts w:asciiTheme="minorHAnsi" w:hAnsiTheme="minorHAnsi" w:cstheme="minorBidi"/>
        </w:rPr>
        <w:t>2.6.3.1.16</w:t>
      </w:r>
      <w:r>
        <w:rPr>
          <w:rFonts w:asciiTheme="minorHAnsi" w:hAnsiTheme="minorHAnsi" w:cstheme="minorBidi"/>
        </w:rPr>
        <w:t xml:space="preserve">. </w:t>
      </w:r>
    </w:p>
    <w:p w14:paraId="3905BDD1" w14:textId="77777777" w:rsidR="00B731C3" w:rsidRDefault="00B731C3" w:rsidP="00B731C3">
      <w:pPr>
        <w:pStyle w:val="muudetavtekst"/>
        <w:rPr>
          <w:rFonts w:asciiTheme="minorHAnsi" w:hAnsiTheme="minorHAnsi" w:cstheme="minorBidi"/>
        </w:rPr>
      </w:pPr>
      <w:r w:rsidRPr="57490200">
        <w:rPr>
          <w:rFonts w:asciiTheme="minorHAnsi" w:hAnsiTheme="minorHAnsi" w:cstheme="minorBidi"/>
          <w:u w:val="single"/>
        </w:rPr>
        <w:t>Lõike</w:t>
      </w:r>
      <w:r>
        <w:rPr>
          <w:rFonts w:asciiTheme="minorHAnsi" w:hAnsiTheme="minorHAnsi" w:cstheme="minorBidi"/>
          <w:u w:val="single"/>
        </w:rPr>
        <w:t>s</w:t>
      </w:r>
      <w:r w:rsidRPr="57490200">
        <w:rPr>
          <w:rFonts w:asciiTheme="minorHAnsi" w:hAnsiTheme="minorHAnsi" w:cstheme="minorBidi"/>
          <w:u w:val="single"/>
        </w:rPr>
        <w:t xml:space="preserve"> 2</w:t>
      </w:r>
      <w:r w:rsidRPr="57490200">
        <w:rPr>
          <w:rFonts w:asciiTheme="minorHAnsi" w:hAnsiTheme="minorHAnsi" w:cstheme="minorBidi"/>
        </w:rPr>
        <w:t xml:space="preserve"> sätestatakse raporteerimise kohustus </w:t>
      </w:r>
      <w:r>
        <w:rPr>
          <w:rFonts w:asciiTheme="minorHAnsi" w:hAnsiTheme="minorHAnsi" w:cstheme="minorBidi"/>
        </w:rPr>
        <w:t xml:space="preserve">sellise </w:t>
      </w:r>
      <w:r w:rsidRPr="57490200">
        <w:rPr>
          <w:rFonts w:asciiTheme="minorHAnsi" w:hAnsiTheme="minorHAnsi" w:cstheme="minorBidi"/>
        </w:rPr>
        <w:t>andmekeskuse käitajale või omanikule, kus on installeeritud infotehnoloogiate nimivõimsus vähealt 500 kW. Nimivõimsuse all mõeldakse tootja deklareeritud infotehnoloogiate võimsust. Andmed tuleb esitada ReportENER andmebaasi igal aasta</w:t>
      </w:r>
      <w:r>
        <w:rPr>
          <w:rFonts w:asciiTheme="minorHAnsi" w:hAnsiTheme="minorHAnsi" w:cstheme="minorBidi"/>
        </w:rPr>
        <w:t>l</w:t>
      </w:r>
      <w:r w:rsidRPr="57490200">
        <w:rPr>
          <w:rFonts w:asciiTheme="minorHAnsi" w:hAnsiTheme="minorHAnsi" w:cstheme="minorBidi"/>
        </w:rPr>
        <w:t xml:space="preserve"> 15. maiks.</w:t>
      </w:r>
    </w:p>
    <w:p w14:paraId="2C4FBC0A" w14:textId="77777777" w:rsidR="00B731C3" w:rsidRDefault="00B731C3" w:rsidP="00B731C3">
      <w:pPr>
        <w:pStyle w:val="muudetavtekst"/>
        <w:rPr>
          <w:rFonts w:asciiTheme="minorHAnsi" w:hAnsiTheme="minorHAnsi" w:cstheme="minorBidi"/>
        </w:rPr>
      </w:pPr>
      <w:r w:rsidRPr="57490200">
        <w:rPr>
          <w:rFonts w:asciiTheme="minorHAnsi" w:hAnsiTheme="minorHAnsi" w:cstheme="minorBidi"/>
        </w:rPr>
        <w:lastRenderedPageBreak/>
        <w:t>Andmekeskuste käitajate erineva</w:t>
      </w:r>
      <w:r>
        <w:rPr>
          <w:rFonts w:asciiTheme="minorHAnsi" w:hAnsiTheme="minorHAnsi" w:cstheme="minorBidi"/>
        </w:rPr>
        <w:t>i</w:t>
      </w:r>
      <w:r w:rsidRPr="57490200">
        <w:rPr>
          <w:rFonts w:asciiTheme="minorHAnsi" w:hAnsiTheme="minorHAnsi" w:cstheme="minorBidi"/>
        </w:rPr>
        <w:t>d vorm</w:t>
      </w:r>
      <w:r>
        <w:rPr>
          <w:rFonts w:asciiTheme="minorHAnsi" w:hAnsiTheme="minorHAnsi" w:cstheme="minorBidi"/>
        </w:rPr>
        <w:t>e</w:t>
      </w:r>
      <w:r w:rsidRPr="57490200">
        <w:rPr>
          <w:rFonts w:asciiTheme="minorHAnsi" w:hAnsiTheme="minorHAnsi" w:cstheme="minorBidi"/>
        </w:rPr>
        <w:t xml:space="preserve"> (näiteks koospaiknemisel ja koosmajutusel põhinev andmekeskus) on selgitatud ee</w:t>
      </w:r>
      <w:r>
        <w:rPr>
          <w:rFonts w:asciiTheme="minorHAnsi" w:hAnsiTheme="minorHAnsi" w:cstheme="minorBidi"/>
        </w:rPr>
        <w:t>s</w:t>
      </w:r>
      <w:r w:rsidRPr="57490200">
        <w:rPr>
          <w:rFonts w:asciiTheme="minorHAnsi" w:hAnsiTheme="minorHAnsi" w:cstheme="minorBidi"/>
        </w:rPr>
        <w:t>pool viidatud otsekohalduvas määruses.</w:t>
      </w:r>
    </w:p>
    <w:p w14:paraId="09ED9F8E" w14:textId="77777777" w:rsidR="00B731C3" w:rsidRDefault="00B731C3" w:rsidP="00B731C3">
      <w:pPr>
        <w:pStyle w:val="muudetavtekst"/>
        <w:rPr>
          <w:rFonts w:asciiTheme="minorHAnsi" w:hAnsiTheme="minorHAnsi" w:cstheme="minorBidi"/>
        </w:rPr>
      </w:pPr>
      <w:r w:rsidRPr="57490200">
        <w:rPr>
          <w:rFonts w:asciiTheme="minorHAnsi" w:hAnsiTheme="minorHAnsi" w:cstheme="minorBidi"/>
        </w:rPr>
        <w:t>Eestis ei ole täpset ülevaadet</w:t>
      </w:r>
      <w:r>
        <w:rPr>
          <w:rFonts w:asciiTheme="minorHAnsi" w:hAnsiTheme="minorHAnsi" w:cstheme="minorBidi"/>
        </w:rPr>
        <w:t>,</w:t>
      </w:r>
      <w:r w:rsidRPr="57490200">
        <w:rPr>
          <w:rFonts w:asciiTheme="minorHAnsi" w:hAnsiTheme="minorHAnsi" w:cstheme="minorBidi"/>
        </w:rPr>
        <w:t xml:space="preserve"> kui palju selliseid andmekeskusi võiks Eestis olla</w:t>
      </w:r>
      <w:r>
        <w:rPr>
          <w:rFonts w:asciiTheme="minorHAnsi" w:hAnsiTheme="minorHAnsi" w:cstheme="minorBidi"/>
        </w:rPr>
        <w:t>. E</w:t>
      </w:r>
      <w:r w:rsidRPr="57490200">
        <w:rPr>
          <w:rFonts w:asciiTheme="minorHAnsi" w:hAnsiTheme="minorHAnsi" w:cstheme="minorBidi"/>
        </w:rPr>
        <w:t xml:space="preserve">elnõu koostamisel </w:t>
      </w:r>
      <w:r>
        <w:rPr>
          <w:rFonts w:asciiTheme="minorHAnsi" w:hAnsiTheme="minorHAnsi" w:cstheme="minorBidi"/>
        </w:rPr>
        <w:t xml:space="preserve">konsulteeriti Justiits- ja Digiministeeriumi selle </w:t>
      </w:r>
      <w:r w:rsidRPr="57490200">
        <w:rPr>
          <w:rFonts w:asciiTheme="minorHAnsi" w:hAnsiTheme="minorHAnsi" w:cstheme="minorBidi"/>
        </w:rPr>
        <w:t>valdkonna ekspertidega</w:t>
      </w:r>
      <w:r>
        <w:rPr>
          <w:rFonts w:asciiTheme="minorHAnsi" w:hAnsiTheme="minorHAnsi" w:cstheme="minorBidi"/>
        </w:rPr>
        <w:t xml:space="preserve">, kelle </w:t>
      </w:r>
      <w:r w:rsidRPr="57490200">
        <w:rPr>
          <w:rFonts w:asciiTheme="minorHAnsi" w:hAnsiTheme="minorHAnsi" w:cstheme="minorBidi"/>
        </w:rPr>
        <w:t>hinnang</w:t>
      </w:r>
      <w:r>
        <w:rPr>
          <w:rFonts w:asciiTheme="minorHAnsi" w:hAnsiTheme="minorHAnsi" w:cstheme="minorBidi"/>
        </w:rPr>
        <w:t>ul võib</w:t>
      </w:r>
      <w:r w:rsidRPr="57490200">
        <w:rPr>
          <w:rFonts w:asciiTheme="minorHAnsi" w:hAnsiTheme="minorHAnsi" w:cstheme="minorBidi"/>
        </w:rPr>
        <w:t xml:space="preserve"> </w:t>
      </w:r>
      <w:r>
        <w:rPr>
          <w:rFonts w:asciiTheme="minorHAnsi" w:hAnsiTheme="minorHAnsi" w:cstheme="minorBidi"/>
        </w:rPr>
        <w:t xml:space="preserve">eespool nimetatud </w:t>
      </w:r>
      <w:r w:rsidRPr="57490200">
        <w:rPr>
          <w:rFonts w:asciiTheme="minorHAnsi" w:hAnsiTheme="minorHAnsi" w:cstheme="minorBidi"/>
        </w:rPr>
        <w:t>kohustus puudutada kuni 15 andmekeskust. Keskuste alla</w:t>
      </w:r>
      <w:r>
        <w:rPr>
          <w:rFonts w:asciiTheme="minorHAnsi" w:hAnsiTheme="minorHAnsi" w:cstheme="minorBidi"/>
        </w:rPr>
        <w:t xml:space="preserve"> </w:t>
      </w:r>
      <w:r w:rsidRPr="57490200">
        <w:rPr>
          <w:rFonts w:asciiTheme="minorHAnsi" w:hAnsiTheme="minorHAnsi" w:cstheme="minorBidi"/>
        </w:rPr>
        <w:t xml:space="preserve">kuuluvad ka riigi infotehnoloogiamajad, ülikoolide küberneetika </w:t>
      </w:r>
      <w:r w:rsidRPr="00B0079D">
        <w:rPr>
          <w:rFonts w:asciiTheme="minorHAnsi" w:hAnsiTheme="minorHAnsi" w:cstheme="minorBidi"/>
        </w:rPr>
        <w:t>maj</w:t>
      </w:r>
      <w:r>
        <w:rPr>
          <w:rFonts w:asciiTheme="minorHAnsi" w:hAnsiTheme="minorHAnsi" w:cstheme="minorBidi"/>
        </w:rPr>
        <w:t>a</w:t>
      </w:r>
      <w:r w:rsidRPr="00B0079D">
        <w:rPr>
          <w:rFonts w:asciiTheme="minorHAnsi" w:hAnsiTheme="minorHAnsi" w:cstheme="minorBidi"/>
        </w:rPr>
        <w:t>d,</w:t>
      </w:r>
      <w:r w:rsidRPr="57490200">
        <w:rPr>
          <w:rFonts w:asciiTheme="minorHAnsi" w:hAnsiTheme="minorHAnsi" w:cstheme="minorBidi"/>
        </w:rPr>
        <w:t xml:space="preserve"> sideettevõtted ja erarahastusel </w:t>
      </w:r>
      <w:r>
        <w:rPr>
          <w:rFonts w:asciiTheme="minorHAnsi" w:hAnsiTheme="minorHAnsi" w:cstheme="minorBidi"/>
        </w:rPr>
        <w:t>põhinevad</w:t>
      </w:r>
      <w:r w:rsidRPr="57490200">
        <w:rPr>
          <w:rFonts w:asciiTheme="minorHAnsi" w:hAnsiTheme="minorHAnsi" w:cstheme="minorBidi"/>
        </w:rPr>
        <w:t xml:space="preserve"> andmekeskused.</w:t>
      </w:r>
    </w:p>
    <w:p w14:paraId="7C0ECED8" w14:textId="77777777" w:rsidR="00B731C3" w:rsidRDefault="00B731C3" w:rsidP="00B731C3">
      <w:pPr>
        <w:pStyle w:val="muudetavtekst"/>
        <w:rPr>
          <w:rFonts w:asciiTheme="minorHAnsi" w:hAnsiTheme="minorHAnsi" w:cstheme="minorBidi"/>
        </w:rPr>
      </w:pPr>
      <w:r w:rsidRPr="57490200">
        <w:rPr>
          <w:rFonts w:asciiTheme="minorHAnsi" w:hAnsiTheme="minorHAnsi" w:cstheme="minorBidi"/>
          <w:u w:val="single"/>
        </w:rPr>
        <w:t>Lõige 3</w:t>
      </w:r>
      <w:r w:rsidRPr="57490200">
        <w:rPr>
          <w:rFonts w:asciiTheme="minorHAnsi" w:hAnsiTheme="minorHAnsi" w:cstheme="minorBidi"/>
        </w:rPr>
        <w:t xml:space="preserve"> annab erandi andmekeskustele, mida kasutatakse või millega osutatakse teenuseid üksnes kaitse ja kodanikukaitse eesmärgil. Siia alla kuuluvad eelkõige, relvajõudude</w:t>
      </w:r>
      <w:r>
        <w:rPr>
          <w:rFonts w:asciiTheme="minorHAnsi" w:hAnsiTheme="minorHAnsi" w:cstheme="minorBidi"/>
        </w:rPr>
        <w:t>,</w:t>
      </w:r>
      <w:r w:rsidRPr="57490200">
        <w:rPr>
          <w:rFonts w:asciiTheme="minorHAnsi" w:hAnsiTheme="minorHAnsi" w:cstheme="minorBidi"/>
        </w:rPr>
        <w:t xml:space="preserve"> aga ka osaliselt sisejulgeoleku andmekeskused. Kas tegemist on kaitse või kodanikukaitse andmekeskusega</w:t>
      </w:r>
      <w:r>
        <w:rPr>
          <w:rFonts w:asciiTheme="minorHAnsi" w:hAnsiTheme="minorHAnsi" w:cstheme="minorBidi"/>
        </w:rPr>
        <w:t>,</w:t>
      </w:r>
      <w:r w:rsidRPr="57490200">
        <w:rPr>
          <w:rFonts w:asciiTheme="minorHAnsi" w:hAnsiTheme="minorHAnsi" w:cstheme="minorBidi"/>
        </w:rPr>
        <w:t xml:space="preserve"> on käitaja määrata, eelkõige puudutab riigi infotehnoloogiamaj</w:t>
      </w:r>
      <w:r>
        <w:rPr>
          <w:rFonts w:asciiTheme="minorHAnsi" w:hAnsiTheme="minorHAnsi" w:cstheme="minorBidi"/>
        </w:rPr>
        <w:t>u</w:t>
      </w:r>
      <w:r w:rsidRPr="57490200">
        <w:rPr>
          <w:rFonts w:asciiTheme="minorHAnsi" w:hAnsiTheme="minorHAnsi" w:cstheme="minorBidi"/>
        </w:rPr>
        <w:t>.</w:t>
      </w:r>
    </w:p>
    <w:p w14:paraId="5F222084" w14:textId="77777777" w:rsidR="00B731C3" w:rsidRDefault="00B731C3" w:rsidP="00B731C3">
      <w:pPr>
        <w:pStyle w:val="muudetavtekst"/>
        <w:rPr>
          <w:rFonts w:asciiTheme="minorHAnsi" w:hAnsiTheme="minorHAnsi" w:cstheme="minorBidi"/>
        </w:rPr>
      </w:pPr>
      <w:r w:rsidRPr="57490200">
        <w:rPr>
          <w:rFonts w:asciiTheme="minorHAnsi" w:hAnsiTheme="minorHAnsi" w:cstheme="minorBidi"/>
          <w:u w:val="single"/>
        </w:rPr>
        <w:t>Lõige 4</w:t>
      </w:r>
      <w:r w:rsidRPr="57490200">
        <w:rPr>
          <w:rFonts w:asciiTheme="minorHAnsi" w:hAnsiTheme="minorHAnsi" w:cstheme="minorBidi"/>
        </w:rPr>
        <w:t xml:space="preserve"> annab volitusnormi kehtesta</w:t>
      </w:r>
      <w:r>
        <w:rPr>
          <w:rFonts w:asciiTheme="minorHAnsi" w:hAnsiTheme="minorHAnsi" w:cstheme="minorBidi"/>
        </w:rPr>
        <w:t>da</w:t>
      </w:r>
      <w:r w:rsidRPr="57490200">
        <w:rPr>
          <w:rFonts w:asciiTheme="minorHAnsi" w:hAnsiTheme="minorHAnsi" w:cstheme="minorBidi"/>
        </w:rPr>
        <w:t xml:space="preserve"> eraldi määrus energiatõhususe teabe miinimumnõuete </w:t>
      </w:r>
      <w:r>
        <w:rPr>
          <w:rFonts w:asciiTheme="minorHAnsi" w:hAnsiTheme="minorHAnsi" w:cstheme="minorBidi"/>
        </w:rPr>
        <w:t xml:space="preserve">loetelu </w:t>
      </w:r>
      <w:r w:rsidRPr="57490200">
        <w:rPr>
          <w:rFonts w:asciiTheme="minorHAnsi" w:hAnsiTheme="minorHAnsi" w:cstheme="minorBidi"/>
        </w:rPr>
        <w:t>andmete</w:t>
      </w:r>
      <w:r>
        <w:rPr>
          <w:rFonts w:asciiTheme="minorHAnsi" w:hAnsiTheme="minorHAnsi" w:cstheme="minorBidi"/>
        </w:rPr>
        <w:t>st</w:t>
      </w:r>
      <w:r w:rsidRPr="57490200">
        <w:rPr>
          <w:rFonts w:asciiTheme="minorHAnsi" w:hAnsiTheme="minorHAnsi" w:cstheme="minorBidi"/>
        </w:rPr>
        <w:t>, mida tuleb andmebaasi edastada. Need andmed on andmekeskuse nimi, andmekeskuse omaniku ja haldajate nimed</w:t>
      </w:r>
      <w:r>
        <w:rPr>
          <w:rFonts w:asciiTheme="minorHAnsi" w:hAnsiTheme="minorHAnsi" w:cstheme="minorBidi"/>
        </w:rPr>
        <w:t>;</w:t>
      </w:r>
      <w:r w:rsidRPr="57490200">
        <w:rPr>
          <w:rFonts w:asciiTheme="minorHAnsi" w:hAnsiTheme="minorHAnsi" w:cstheme="minorBidi"/>
        </w:rPr>
        <w:t xml:space="preserve"> andmekeskuse töö alguskuupäev ja omavalitsusüksus, kus andmekeskus asub; andmekeskuse põrandapindala; paigaldatud võimsus; aastas sissetulev ja väljaminev andmehulk; säilitatavate ja töödeldavate andmete hulk; andmekeskuse toimimise tulemuslikkus viimasel täiskalendriaastal peamiste tulemusnäitajate</w:t>
      </w:r>
      <w:r>
        <w:rPr>
          <w:rFonts w:asciiTheme="minorHAnsi" w:hAnsiTheme="minorHAnsi" w:cstheme="minorBidi"/>
        </w:rPr>
        <w:t xml:space="preserve"> järgi</w:t>
      </w:r>
      <w:r w:rsidRPr="57490200">
        <w:rPr>
          <w:rFonts w:asciiTheme="minorHAnsi" w:hAnsiTheme="minorHAnsi" w:cstheme="minorBidi"/>
        </w:rPr>
        <w:t>, muu hulgas energiatarbimise, võimsuse kasutamise, temperatuuri seadeväärtuste, heitsoojuse kasutamise, veekasutuse ja taastuvenergia kasutuse kohta.</w:t>
      </w:r>
    </w:p>
    <w:p w14:paraId="3B463F18" w14:textId="77777777" w:rsidR="00B731C3" w:rsidRDefault="00B731C3" w:rsidP="00B731C3">
      <w:pPr>
        <w:pStyle w:val="muudetavtekst"/>
        <w:rPr>
          <w:rFonts w:asciiTheme="minorHAnsi" w:hAnsiTheme="minorHAnsi" w:cstheme="minorBidi"/>
        </w:rPr>
      </w:pPr>
      <w:r w:rsidRPr="57490200">
        <w:rPr>
          <w:rFonts w:asciiTheme="minorHAnsi" w:hAnsiTheme="minorHAnsi" w:cstheme="minorBidi"/>
          <w:u w:val="single"/>
        </w:rPr>
        <w:t>Lõige 5</w:t>
      </w:r>
      <w:r w:rsidRPr="57490200">
        <w:rPr>
          <w:rFonts w:asciiTheme="minorHAnsi" w:hAnsiTheme="minorHAnsi" w:cstheme="minorBidi"/>
        </w:rPr>
        <w:t xml:space="preserve"> kohustab energiasäästu koordinaatorit tegelema eriti suurte andmekeskustega, et n</w:t>
      </w:r>
      <w:r>
        <w:rPr>
          <w:rFonts w:asciiTheme="minorHAnsi" w:hAnsiTheme="minorHAnsi" w:cstheme="minorBidi"/>
        </w:rPr>
        <w:t>ee</w:t>
      </w:r>
      <w:r w:rsidRPr="57490200">
        <w:rPr>
          <w:rFonts w:asciiTheme="minorHAnsi" w:hAnsiTheme="minorHAnsi" w:cstheme="minorBidi"/>
        </w:rPr>
        <w:t>d arvestaksid parimaid praktikaid, mis aitavad kaasa energiakasutamise tõhustamisele.</w:t>
      </w:r>
    </w:p>
    <w:p w14:paraId="10EF5F14" w14:textId="77777777" w:rsidR="00B731C3" w:rsidRDefault="00B731C3" w:rsidP="00B731C3">
      <w:pPr>
        <w:pStyle w:val="muudetavtekst"/>
        <w:rPr>
          <w:rFonts w:asciiTheme="minorHAnsi" w:hAnsiTheme="minorHAnsi" w:cstheme="minorHAnsi"/>
        </w:rPr>
      </w:pPr>
      <w:r w:rsidRPr="00C65241">
        <w:rPr>
          <w:rFonts w:asciiTheme="minorHAnsi" w:hAnsiTheme="minorHAnsi" w:cstheme="minorHAnsi"/>
          <w:u w:val="single"/>
        </w:rPr>
        <w:t>Lõige 6</w:t>
      </w:r>
      <w:r w:rsidRPr="00C65241">
        <w:rPr>
          <w:rFonts w:asciiTheme="minorHAnsi" w:hAnsiTheme="minorHAnsi" w:cstheme="minorHAnsi"/>
        </w:rPr>
        <w:t xml:space="preserve"> vabastab</w:t>
      </w:r>
      <w:r>
        <w:rPr>
          <w:rFonts w:asciiTheme="minorHAnsi" w:hAnsiTheme="minorHAnsi" w:cstheme="minorHAnsi"/>
        </w:rPr>
        <w:t xml:space="preserve"> andmekeskused k</w:t>
      </w:r>
      <w:r>
        <w:t>ütte- ja jahutustarne energiatõhususe suurendamise majandusliku teostatavuse analüüsist, kui andmekeskuse heitsoojust kasutatakse või hakatakse kasutama kaugküttevõrgus või otseselt ruumide kütmiseks, sooja tarbevee valmistamiseks või muul otstarbel hoones või hoonete rühmas või rajatistes, kus see asub.</w:t>
      </w:r>
    </w:p>
    <w:p w14:paraId="4A1F3032" w14:textId="77777777" w:rsidR="00B731C3" w:rsidRDefault="00B731C3" w:rsidP="00B731C3">
      <w:pPr>
        <w:pStyle w:val="muudetavtekst"/>
        <w:rPr>
          <w:rFonts w:asciiTheme="minorHAnsi" w:hAnsiTheme="minorHAnsi" w:cstheme="minorBidi"/>
        </w:rPr>
      </w:pPr>
      <w:r w:rsidRPr="57490200">
        <w:rPr>
          <w:rFonts w:asciiTheme="minorHAnsi" w:hAnsiTheme="minorHAnsi" w:cstheme="minorBidi"/>
          <w:u w:val="single"/>
        </w:rPr>
        <w:t>Lõige 7</w:t>
      </w:r>
      <w:r w:rsidRPr="57490200">
        <w:rPr>
          <w:rFonts w:asciiTheme="minorHAnsi" w:hAnsiTheme="minorHAnsi" w:cstheme="minorBidi"/>
        </w:rPr>
        <w:t xml:space="preserve"> sätestab kontaktpunkti riigis. Selleks, et andmekeskused saaksid sisestada oma andmeid ReportENER andmebaasi, tuleb määrata kontaktpunkt, kes haldab kontosid ja kinnitab edastatud andmed. Kontaktpunkti roll antakse Tarbijakaitse ja Tehnilise Järelevalve Ametile, kes on </w:t>
      </w:r>
      <w:r>
        <w:rPr>
          <w:rFonts w:asciiTheme="minorHAnsi" w:hAnsiTheme="minorHAnsi" w:cstheme="minorBidi"/>
        </w:rPr>
        <w:t>praegu</w:t>
      </w:r>
      <w:r w:rsidRPr="57490200">
        <w:rPr>
          <w:rFonts w:asciiTheme="minorHAnsi" w:hAnsiTheme="minorHAnsi" w:cstheme="minorBidi"/>
        </w:rPr>
        <w:t xml:space="preserve"> riigi pädevaim energiatõhususe valdkonna rakendusasutus, samuti on TTJA</w:t>
      </w:r>
      <w:r>
        <w:rPr>
          <w:rFonts w:asciiTheme="minorHAnsi" w:hAnsiTheme="minorHAnsi" w:cstheme="minorBidi"/>
        </w:rPr>
        <w:t xml:space="preserve">l </w:t>
      </w:r>
      <w:r w:rsidRPr="57490200">
        <w:rPr>
          <w:rFonts w:asciiTheme="minorHAnsi" w:hAnsiTheme="minorHAnsi" w:cstheme="minorBidi"/>
        </w:rPr>
        <w:t xml:space="preserve"> digivaldkonna rakendusasutuse pädevus.</w:t>
      </w:r>
    </w:p>
    <w:p w14:paraId="2988D544" w14:textId="77777777" w:rsidR="00B731C3" w:rsidRDefault="00B731C3" w:rsidP="00B731C3">
      <w:pPr>
        <w:pStyle w:val="muudetavtekst"/>
        <w:rPr>
          <w:rFonts w:asciiTheme="minorHAnsi" w:hAnsiTheme="minorHAnsi" w:cstheme="minorHAnsi"/>
        </w:rPr>
      </w:pPr>
    </w:p>
    <w:p w14:paraId="016A6926" w14:textId="77777777" w:rsidR="00B731C3" w:rsidRDefault="00B731C3" w:rsidP="00B731C3">
      <w:pPr>
        <w:pStyle w:val="muudetavtekst"/>
        <w:rPr>
          <w:rFonts w:asciiTheme="minorHAnsi" w:hAnsiTheme="minorHAnsi" w:cstheme="minorHAnsi"/>
        </w:rPr>
      </w:pPr>
      <w:r w:rsidRPr="00612756">
        <w:rPr>
          <w:rFonts w:asciiTheme="minorHAnsi" w:hAnsiTheme="minorHAnsi" w:cstheme="minorHAnsi"/>
          <w:b/>
          <w:bCs/>
        </w:rPr>
        <w:t xml:space="preserve">Punktiga </w:t>
      </w:r>
      <w:r>
        <w:rPr>
          <w:rFonts w:asciiTheme="minorHAnsi" w:hAnsiTheme="minorHAnsi" w:cstheme="minorHAnsi"/>
          <w:b/>
          <w:bCs/>
        </w:rPr>
        <w:t>49</w:t>
      </w:r>
      <w:r>
        <w:rPr>
          <w:rFonts w:asciiTheme="minorHAnsi" w:hAnsiTheme="minorHAnsi" w:cstheme="minorHAnsi"/>
        </w:rPr>
        <w:t xml:space="preserve"> täiendatakse EnKSi </w:t>
      </w:r>
      <w:r w:rsidRPr="51248E01">
        <w:rPr>
          <w:rFonts w:asciiTheme="minorHAnsi" w:hAnsiTheme="minorHAnsi" w:cstheme="minorBidi"/>
        </w:rPr>
        <w:t>§</w:t>
      </w:r>
      <w:r>
        <w:rPr>
          <w:rFonts w:asciiTheme="minorHAnsi" w:hAnsiTheme="minorHAnsi" w:cstheme="minorHAnsi"/>
        </w:rPr>
        <w:t xml:space="preserve"> paragrahvi 30 lõiget 4, lisades pärast esimest lauset lause „</w:t>
      </w:r>
      <w:r w:rsidRPr="00A15B0A">
        <w:rPr>
          <w:rFonts w:asciiTheme="minorHAnsi" w:hAnsiTheme="minorHAnsi" w:cstheme="minorHAnsi"/>
        </w:rPr>
        <w:t>Eraldi tuleb teadlik</w:t>
      </w:r>
      <w:r>
        <w:rPr>
          <w:rFonts w:asciiTheme="minorHAnsi" w:hAnsiTheme="minorHAnsi" w:cstheme="minorHAnsi"/>
        </w:rPr>
        <w:t>k</w:t>
      </w:r>
      <w:r w:rsidRPr="00A15B0A">
        <w:rPr>
          <w:rFonts w:asciiTheme="minorHAnsi" w:hAnsiTheme="minorHAnsi" w:cstheme="minorHAnsi"/>
        </w:rPr>
        <w:t>ust arendada energiaostuvõimetute isikute ja energiaostu riskirühmadel“</w:t>
      </w:r>
      <w:r>
        <w:rPr>
          <w:rFonts w:asciiTheme="minorHAnsi" w:hAnsiTheme="minorHAnsi" w:cstheme="minorHAnsi"/>
        </w:rPr>
        <w:t xml:space="preserve">, et osutada suuremat tähelepanu haavatavatele rühmadele. Teadlikkuse alla käivad ka erinevad rahatarkuse programmid, koostöö sotsiaaltöötajatega, et leida üles need haavatavad grupid ning nende vajadused ja võimalused. </w:t>
      </w:r>
    </w:p>
    <w:p w14:paraId="6A50894E" w14:textId="77777777" w:rsidR="00B731C3" w:rsidRDefault="00B731C3" w:rsidP="00B731C3">
      <w:pPr>
        <w:pStyle w:val="muudetavtekst"/>
        <w:rPr>
          <w:rFonts w:asciiTheme="minorHAnsi" w:hAnsiTheme="minorHAnsi" w:cstheme="minorHAnsi"/>
        </w:rPr>
      </w:pPr>
    </w:p>
    <w:p w14:paraId="2EB05F83" w14:textId="77777777" w:rsidR="00B731C3" w:rsidRPr="009B1BD3" w:rsidRDefault="00B731C3" w:rsidP="00B731C3">
      <w:pPr>
        <w:pStyle w:val="muudetavtekst"/>
        <w:rPr>
          <w:rFonts w:asciiTheme="minorHAnsi" w:hAnsiTheme="minorHAnsi" w:cstheme="minorBidi"/>
          <w:b/>
          <w:bCs/>
        </w:rPr>
      </w:pPr>
      <w:r w:rsidRPr="57490200">
        <w:rPr>
          <w:rFonts w:asciiTheme="minorHAnsi" w:hAnsiTheme="minorHAnsi" w:cstheme="minorBidi"/>
          <w:b/>
          <w:bCs/>
        </w:rPr>
        <w:t xml:space="preserve">Punktiga </w:t>
      </w:r>
      <w:r>
        <w:rPr>
          <w:rFonts w:asciiTheme="minorHAnsi" w:hAnsiTheme="minorHAnsi" w:cstheme="minorBidi"/>
          <w:b/>
          <w:bCs/>
        </w:rPr>
        <w:t>50</w:t>
      </w:r>
      <w:r w:rsidRPr="57490200">
        <w:rPr>
          <w:rFonts w:asciiTheme="minorHAnsi" w:hAnsiTheme="minorHAnsi" w:cstheme="minorBidi"/>
        </w:rPr>
        <w:t xml:space="preserve"> täiendatakse EnKS</w:t>
      </w:r>
      <w:r>
        <w:rPr>
          <w:rFonts w:asciiTheme="minorHAnsi" w:hAnsiTheme="minorHAnsi" w:cstheme="minorBidi"/>
        </w:rPr>
        <w:t>i</w:t>
      </w:r>
      <w:r w:rsidRPr="57490200">
        <w:rPr>
          <w:rFonts w:asciiTheme="minorHAnsi" w:hAnsiTheme="minorHAnsi" w:cstheme="minorBidi"/>
        </w:rPr>
        <w:t xml:space="preserve"> </w:t>
      </w:r>
      <w:r w:rsidRPr="51248E01">
        <w:rPr>
          <w:rFonts w:asciiTheme="minorHAnsi" w:hAnsiTheme="minorHAnsi" w:cstheme="minorBidi"/>
        </w:rPr>
        <w:t>§</w:t>
      </w:r>
      <w:r w:rsidRPr="57490200">
        <w:rPr>
          <w:rFonts w:asciiTheme="minorHAnsi" w:hAnsiTheme="minorHAnsi" w:cstheme="minorBidi"/>
        </w:rPr>
        <w:t xml:space="preserve"> 33 lõikega 3</w:t>
      </w:r>
      <w:r w:rsidRPr="57490200">
        <w:rPr>
          <w:rFonts w:asciiTheme="minorHAnsi" w:hAnsiTheme="minorHAnsi" w:cstheme="minorBidi"/>
          <w:vertAlign w:val="superscript"/>
        </w:rPr>
        <w:t>1</w:t>
      </w:r>
      <w:r w:rsidRPr="57490200">
        <w:rPr>
          <w:rFonts w:asciiTheme="minorHAnsi" w:hAnsiTheme="minorHAnsi" w:cstheme="minorBidi"/>
        </w:rPr>
        <w:t>, millega määratakse Tarbijakaitse ja Tehnilise Järelevalve Amet avaliku sektori energiasäästu koordinaatori ja andmekeskuste kontaktpunkti rollidesse.</w:t>
      </w:r>
    </w:p>
    <w:p w14:paraId="3F4CF24A" w14:textId="77777777" w:rsidR="00B731C3" w:rsidRDefault="00B731C3" w:rsidP="00B731C3">
      <w:pPr>
        <w:pStyle w:val="muudetavtekst"/>
        <w:rPr>
          <w:rFonts w:asciiTheme="minorHAnsi" w:hAnsiTheme="minorHAnsi" w:cstheme="minorHAnsi"/>
        </w:rPr>
      </w:pPr>
    </w:p>
    <w:p w14:paraId="05F7E896" w14:textId="77777777" w:rsidR="00B731C3" w:rsidRDefault="00B731C3" w:rsidP="00B731C3">
      <w:pPr>
        <w:pStyle w:val="muudetavtekst"/>
        <w:rPr>
          <w:rFonts w:asciiTheme="minorHAnsi" w:hAnsiTheme="minorHAnsi" w:cstheme="minorBidi"/>
        </w:rPr>
      </w:pPr>
      <w:r w:rsidRPr="57490200">
        <w:rPr>
          <w:rFonts w:asciiTheme="minorHAnsi" w:hAnsiTheme="minorHAnsi" w:cstheme="minorBidi"/>
          <w:b/>
          <w:bCs/>
        </w:rPr>
        <w:t xml:space="preserve">Punktiga </w:t>
      </w:r>
      <w:r>
        <w:rPr>
          <w:rFonts w:asciiTheme="minorHAnsi" w:hAnsiTheme="minorHAnsi" w:cstheme="minorBidi"/>
          <w:b/>
          <w:bCs/>
        </w:rPr>
        <w:t>51</w:t>
      </w:r>
      <w:r w:rsidRPr="57490200">
        <w:rPr>
          <w:rFonts w:asciiTheme="minorHAnsi" w:hAnsiTheme="minorHAnsi" w:cstheme="minorBidi"/>
        </w:rPr>
        <w:t xml:space="preserve"> muudetakse EnKS</w:t>
      </w:r>
      <w:r>
        <w:rPr>
          <w:rFonts w:asciiTheme="minorHAnsi" w:hAnsiTheme="minorHAnsi" w:cstheme="minorBidi"/>
        </w:rPr>
        <w:t>i</w:t>
      </w:r>
      <w:r w:rsidRPr="57490200">
        <w:rPr>
          <w:rFonts w:asciiTheme="minorHAnsi" w:hAnsiTheme="minorHAnsi" w:cstheme="minorBidi"/>
        </w:rPr>
        <w:t xml:space="preserve"> </w:t>
      </w:r>
      <w:r w:rsidRPr="51248E01">
        <w:rPr>
          <w:rFonts w:asciiTheme="minorHAnsi" w:hAnsiTheme="minorHAnsi" w:cstheme="minorBidi"/>
        </w:rPr>
        <w:t>§</w:t>
      </w:r>
      <w:r>
        <w:rPr>
          <w:rFonts w:asciiTheme="minorHAnsi" w:hAnsiTheme="minorHAnsi" w:cstheme="minorBidi"/>
        </w:rPr>
        <w:t xml:space="preserve"> </w:t>
      </w:r>
      <w:r w:rsidRPr="57490200">
        <w:rPr>
          <w:rFonts w:asciiTheme="minorHAnsi" w:hAnsiTheme="minorHAnsi" w:cstheme="minorBidi"/>
        </w:rPr>
        <w:t>37</w:t>
      </w:r>
      <w:r w:rsidRPr="57490200">
        <w:rPr>
          <w:rFonts w:asciiTheme="minorHAnsi" w:hAnsiTheme="minorHAnsi" w:cstheme="minorBidi"/>
          <w:vertAlign w:val="superscript"/>
        </w:rPr>
        <w:t>1</w:t>
      </w:r>
      <w:r w:rsidRPr="57490200">
        <w:rPr>
          <w:rFonts w:asciiTheme="minorHAnsi" w:hAnsiTheme="minorHAnsi" w:cstheme="minorBidi"/>
        </w:rPr>
        <w:t>, mis annab võimaluse kaugkütte ja -jahutuse ettevõttele võimaluse kaugloetavad arvesteid mitte paigaldada</w:t>
      </w:r>
      <w:r>
        <w:rPr>
          <w:rFonts w:asciiTheme="minorHAnsi" w:hAnsiTheme="minorHAnsi" w:cstheme="minorBidi"/>
        </w:rPr>
        <w:t>,</w:t>
      </w:r>
      <w:r w:rsidRPr="57490200">
        <w:rPr>
          <w:rFonts w:asciiTheme="minorHAnsi" w:hAnsiTheme="minorHAnsi" w:cstheme="minorBidi"/>
        </w:rPr>
        <w:t xml:space="preserve"> kui see ei ole kulutõhus </w:t>
      </w:r>
      <w:r>
        <w:rPr>
          <w:rFonts w:asciiTheme="minorHAnsi" w:hAnsiTheme="minorHAnsi" w:cstheme="minorBidi"/>
        </w:rPr>
        <w:t>ega</w:t>
      </w:r>
      <w:r w:rsidRPr="57490200">
        <w:rPr>
          <w:rFonts w:asciiTheme="minorHAnsi" w:hAnsiTheme="minorHAnsi" w:cstheme="minorBidi"/>
        </w:rPr>
        <w:t xml:space="preserve"> tehniliselt teostatav. See puudutab eelkõige </w:t>
      </w:r>
      <w:r>
        <w:rPr>
          <w:rFonts w:asciiTheme="minorHAnsi" w:hAnsiTheme="minorHAnsi" w:cstheme="minorBidi"/>
        </w:rPr>
        <w:t>väiksemaid võrgupiirkondi</w:t>
      </w:r>
      <w:r w:rsidRPr="57490200">
        <w:rPr>
          <w:rFonts w:asciiTheme="minorHAnsi" w:hAnsiTheme="minorHAnsi" w:cstheme="minorBidi"/>
        </w:rPr>
        <w:t xml:space="preserve"> ning </w:t>
      </w:r>
      <w:r>
        <w:rPr>
          <w:rFonts w:asciiTheme="minorHAnsi" w:hAnsiTheme="minorHAnsi" w:cstheme="minorBidi"/>
        </w:rPr>
        <w:t>kus</w:t>
      </w:r>
      <w:r w:rsidRPr="57490200">
        <w:rPr>
          <w:rFonts w:asciiTheme="minorHAnsi" w:hAnsiTheme="minorHAnsi" w:cstheme="minorBidi"/>
        </w:rPr>
        <w:t xml:space="preserve"> arvesti näitude võtmine on </w:t>
      </w:r>
      <w:r>
        <w:rPr>
          <w:rFonts w:asciiTheme="minorHAnsi" w:hAnsiTheme="minorHAnsi" w:cstheme="minorBidi"/>
        </w:rPr>
        <w:t xml:space="preserve">käsitsi </w:t>
      </w:r>
      <w:r w:rsidRPr="57490200">
        <w:rPr>
          <w:rFonts w:asciiTheme="minorHAnsi" w:hAnsiTheme="minorHAnsi" w:cstheme="minorBidi"/>
        </w:rPr>
        <w:t>lihtsam kui investeerida kaugloetavatesse arvestitesse ning süsteemi, mis andmeid kogub ja säilitab.</w:t>
      </w:r>
      <w:r>
        <w:rPr>
          <w:rFonts w:asciiTheme="minorHAnsi" w:hAnsiTheme="minorHAnsi" w:cstheme="minorBidi"/>
        </w:rPr>
        <w:t xml:space="preserve"> Eesti Jõujaamade ja Kaugkütteühingu andmetel on üle 90% soojustarbimisest kaugküttesektoris kaugloetavate arvestitega varustatud.</w:t>
      </w:r>
    </w:p>
    <w:p w14:paraId="12A284F5" w14:textId="77777777" w:rsidR="00B731C3" w:rsidRDefault="00B731C3" w:rsidP="00B731C3">
      <w:pPr>
        <w:pStyle w:val="muudetavtekst"/>
        <w:rPr>
          <w:rFonts w:asciiTheme="minorHAnsi" w:hAnsiTheme="minorHAnsi" w:cstheme="minorHAnsi"/>
        </w:rPr>
      </w:pPr>
    </w:p>
    <w:p w14:paraId="7FD362E6" w14:textId="77777777" w:rsidR="00B731C3" w:rsidRDefault="00B731C3" w:rsidP="00B731C3">
      <w:pPr>
        <w:pStyle w:val="muudetavtekst"/>
        <w:rPr>
          <w:rFonts w:asciiTheme="minorHAnsi" w:hAnsiTheme="minorHAnsi" w:cstheme="minorHAnsi"/>
        </w:rPr>
      </w:pPr>
      <w:r w:rsidRPr="007127AA">
        <w:rPr>
          <w:rFonts w:asciiTheme="minorHAnsi" w:hAnsiTheme="minorHAnsi" w:cstheme="minorHAnsi"/>
          <w:b/>
          <w:bCs/>
        </w:rPr>
        <w:lastRenderedPageBreak/>
        <w:t xml:space="preserve">Punktiga </w:t>
      </w:r>
      <w:r>
        <w:rPr>
          <w:rFonts w:asciiTheme="minorHAnsi" w:hAnsiTheme="minorHAnsi" w:cstheme="minorHAnsi"/>
          <w:b/>
          <w:bCs/>
        </w:rPr>
        <w:t>52</w:t>
      </w:r>
      <w:r>
        <w:rPr>
          <w:rFonts w:asciiTheme="minorHAnsi" w:hAnsiTheme="minorHAnsi" w:cstheme="minorHAnsi"/>
        </w:rPr>
        <w:t xml:space="preserve"> muudetakse </w:t>
      </w:r>
      <w:r w:rsidRPr="51248E01">
        <w:rPr>
          <w:rFonts w:asciiTheme="minorHAnsi" w:hAnsiTheme="minorHAnsi" w:cstheme="minorBidi"/>
        </w:rPr>
        <w:t>§</w:t>
      </w:r>
      <w:r>
        <w:rPr>
          <w:rFonts w:asciiTheme="minorHAnsi" w:hAnsiTheme="minorHAnsi" w:cstheme="minorHAnsi"/>
        </w:rPr>
        <w:t xml:space="preserve"> 38 ja lisatakse lõiked 1 ja 2. Tegemist on rakendussättega, mis sätestab ettevõtetele energiaauditite ja energiajuhtimissüsteemide kohustuste rakendumise tähtajad.</w:t>
      </w:r>
    </w:p>
    <w:p w14:paraId="6B85FEB9" w14:textId="77777777" w:rsidR="00B731C3" w:rsidRDefault="00B731C3" w:rsidP="00B731C3">
      <w:pPr>
        <w:pStyle w:val="muudetavtekst"/>
        <w:rPr>
          <w:rFonts w:asciiTheme="minorHAnsi" w:hAnsiTheme="minorHAnsi" w:cstheme="minorHAnsi"/>
        </w:rPr>
      </w:pPr>
    </w:p>
    <w:p w14:paraId="0E89F213" w14:textId="77777777" w:rsidR="00B731C3" w:rsidRDefault="00B731C3" w:rsidP="00B731C3">
      <w:pPr>
        <w:pStyle w:val="muudetavtekst"/>
        <w:rPr>
          <w:rFonts w:asciiTheme="minorHAnsi" w:hAnsiTheme="minorHAnsi" w:cstheme="minorHAnsi"/>
        </w:rPr>
      </w:pPr>
      <w:r w:rsidRPr="00C95B3C">
        <w:rPr>
          <w:rFonts w:asciiTheme="minorHAnsi" w:hAnsiTheme="minorHAnsi" w:cstheme="minorHAnsi"/>
          <w:b/>
          <w:bCs/>
        </w:rPr>
        <w:t>Punktiga 5</w:t>
      </w:r>
      <w:r>
        <w:rPr>
          <w:rFonts w:asciiTheme="minorHAnsi" w:hAnsiTheme="minorHAnsi" w:cstheme="minorHAnsi"/>
          <w:b/>
          <w:bCs/>
        </w:rPr>
        <w:t>4</w:t>
      </w:r>
      <w:r>
        <w:rPr>
          <w:rFonts w:asciiTheme="minorHAnsi" w:hAnsiTheme="minorHAnsi" w:cstheme="minorHAnsi"/>
        </w:rPr>
        <w:t xml:space="preserve"> täiendatakse EnKSi </w:t>
      </w:r>
      <w:r w:rsidRPr="51248E01">
        <w:rPr>
          <w:rFonts w:asciiTheme="minorHAnsi" w:hAnsiTheme="minorHAnsi" w:cstheme="minorBidi"/>
        </w:rPr>
        <w:t>§</w:t>
      </w:r>
      <w:r>
        <w:rPr>
          <w:rFonts w:asciiTheme="minorHAnsi" w:hAnsiTheme="minorHAnsi" w:cstheme="minorBidi"/>
        </w:rPr>
        <w:t>-ga</w:t>
      </w:r>
      <w:r>
        <w:rPr>
          <w:rFonts w:asciiTheme="minorHAnsi" w:hAnsiTheme="minorHAnsi" w:cstheme="minorHAnsi"/>
        </w:rPr>
        <w:t xml:space="preserve"> 38</w:t>
      </w:r>
      <w:r>
        <w:rPr>
          <w:rFonts w:asciiTheme="minorHAnsi" w:hAnsiTheme="minorHAnsi" w:cstheme="minorHAnsi"/>
          <w:vertAlign w:val="superscript"/>
        </w:rPr>
        <w:t>4</w:t>
      </w:r>
      <w:r>
        <w:rPr>
          <w:rFonts w:asciiTheme="minorHAnsi" w:hAnsiTheme="minorHAnsi" w:cstheme="minorHAnsi"/>
        </w:rPr>
        <w:t xml:space="preserve"> - 38</w:t>
      </w:r>
      <w:r>
        <w:rPr>
          <w:rFonts w:asciiTheme="minorHAnsi" w:hAnsiTheme="minorHAnsi" w:cstheme="minorHAnsi"/>
          <w:vertAlign w:val="superscript"/>
        </w:rPr>
        <w:t>5</w:t>
      </w:r>
      <w:r>
        <w:rPr>
          <w:rFonts w:asciiTheme="minorHAnsi" w:hAnsiTheme="minorHAnsi" w:cstheme="minorHAnsi"/>
        </w:rPr>
        <w:t xml:space="preserve">.  </w:t>
      </w:r>
    </w:p>
    <w:p w14:paraId="5D1887E9" w14:textId="77777777" w:rsidR="00B731C3" w:rsidRDefault="00B731C3" w:rsidP="00B731C3">
      <w:pPr>
        <w:pStyle w:val="muudetavtekst"/>
        <w:rPr>
          <w:rFonts w:asciiTheme="minorHAnsi" w:hAnsiTheme="minorHAnsi" w:cstheme="minorHAnsi"/>
        </w:rPr>
      </w:pPr>
      <w:r>
        <w:rPr>
          <w:rFonts w:asciiTheme="minorHAnsi" w:hAnsiTheme="minorHAnsi" w:cstheme="minorHAnsi"/>
        </w:rPr>
        <w:t xml:space="preserve">Paragrahviga </w:t>
      </w:r>
      <w:r w:rsidRPr="008B3494">
        <w:rPr>
          <w:rFonts w:asciiTheme="minorHAnsi" w:hAnsiTheme="minorHAnsi" w:cstheme="minorHAnsi"/>
        </w:rPr>
        <w:t>38</w:t>
      </w:r>
      <w:r>
        <w:rPr>
          <w:rFonts w:asciiTheme="minorHAnsi" w:hAnsiTheme="minorHAnsi" w:cstheme="minorHAnsi"/>
          <w:vertAlign w:val="superscript"/>
        </w:rPr>
        <w:t>4</w:t>
      </w:r>
      <w:r>
        <w:rPr>
          <w:rFonts w:asciiTheme="minorHAnsi" w:hAnsiTheme="minorHAnsi" w:cstheme="minorHAnsi"/>
        </w:rPr>
        <w:t xml:space="preserve"> sätestatakse § 4</w:t>
      </w:r>
      <w:r>
        <w:rPr>
          <w:rFonts w:asciiTheme="minorHAnsi" w:hAnsiTheme="minorHAnsi" w:cstheme="minorHAnsi"/>
          <w:vertAlign w:val="superscript"/>
        </w:rPr>
        <w:t xml:space="preserve">2 </w:t>
      </w:r>
      <w:r w:rsidRPr="00ED3ECE">
        <w:rPr>
          <w:rFonts w:asciiTheme="minorHAnsi" w:hAnsiTheme="minorHAnsi" w:cstheme="minorHAnsi"/>
        </w:rPr>
        <w:t>rakendamine</w:t>
      </w:r>
      <w:r>
        <w:rPr>
          <w:rFonts w:asciiTheme="minorHAnsi" w:hAnsiTheme="minorHAnsi" w:cstheme="minorHAnsi"/>
        </w:rPr>
        <w:t>. Paragrahv käsitleb üldist avaliku sektori kokkuhoidu: kui avalikule sektorile hakkab kehtima üldine energiasäästu kokkuhoid, siis saab teha mõningad erandid kohalikele omavalitsustele nende elanikkonna suuruse järgi.</w:t>
      </w:r>
    </w:p>
    <w:p w14:paraId="1122DAA7" w14:textId="77777777" w:rsidR="00B731C3" w:rsidRDefault="00B731C3" w:rsidP="00B731C3">
      <w:pPr>
        <w:pStyle w:val="muudetavtekst"/>
        <w:rPr>
          <w:rFonts w:asciiTheme="minorHAnsi" w:hAnsiTheme="minorHAnsi" w:cstheme="minorHAnsi"/>
        </w:rPr>
      </w:pPr>
      <w:r>
        <w:rPr>
          <w:rFonts w:asciiTheme="minorHAnsi" w:hAnsiTheme="minorHAnsi" w:cstheme="minorHAnsi"/>
        </w:rPr>
        <w:t>Paragrahviga 38</w:t>
      </w:r>
      <w:r>
        <w:rPr>
          <w:rFonts w:asciiTheme="minorHAnsi" w:hAnsiTheme="minorHAnsi" w:cstheme="minorHAnsi"/>
          <w:vertAlign w:val="superscript"/>
        </w:rPr>
        <w:t>5</w:t>
      </w:r>
      <w:r>
        <w:rPr>
          <w:rFonts w:asciiTheme="minorHAnsi" w:hAnsiTheme="minorHAnsi" w:cstheme="minorHAnsi"/>
        </w:rPr>
        <w:t xml:space="preserve"> </w:t>
      </w:r>
      <w:r w:rsidRPr="57490200">
        <w:rPr>
          <w:rFonts w:asciiTheme="minorHAnsi" w:hAnsiTheme="minorHAnsi" w:cstheme="minorBidi"/>
        </w:rPr>
        <w:t xml:space="preserve">sätestatakse, et esimene avaliku sektori asutuste hoonete inventuur tuleb teha 11. </w:t>
      </w:r>
      <w:r>
        <w:rPr>
          <w:rFonts w:asciiTheme="minorHAnsi" w:hAnsiTheme="minorHAnsi" w:cstheme="minorBidi"/>
        </w:rPr>
        <w:t>o</w:t>
      </w:r>
      <w:r w:rsidRPr="57490200">
        <w:rPr>
          <w:rFonts w:asciiTheme="minorHAnsi" w:hAnsiTheme="minorHAnsi" w:cstheme="minorBidi"/>
        </w:rPr>
        <w:t>ktoobriks 2025</w:t>
      </w:r>
      <w:r>
        <w:rPr>
          <w:rFonts w:asciiTheme="minorHAnsi" w:hAnsiTheme="minorHAnsi" w:cstheme="minorBidi"/>
        </w:rPr>
        <w:t>, mil direktiiv rakendub.</w:t>
      </w:r>
      <w:r w:rsidRPr="57490200">
        <w:rPr>
          <w:rFonts w:asciiTheme="minorHAnsi" w:hAnsiTheme="minorHAnsi" w:cstheme="minorBidi"/>
        </w:rPr>
        <w:t xml:space="preserve"> </w:t>
      </w:r>
      <w:r>
        <w:rPr>
          <w:rFonts w:asciiTheme="minorHAnsi" w:hAnsiTheme="minorHAnsi" w:cstheme="minorBidi"/>
        </w:rPr>
        <w:t xml:space="preserve">Inventuuri </w:t>
      </w:r>
      <w:r w:rsidRPr="57490200">
        <w:rPr>
          <w:rFonts w:asciiTheme="minorHAnsi" w:hAnsiTheme="minorHAnsi" w:cstheme="minorBidi"/>
        </w:rPr>
        <w:t>ajakohastatakse</w:t>
      </w:r>
      <w:r w:rsidRPr="57490200">
        <w:rPr>
          <w:color w:val="000000" w:themeColor="text1"/>
        </w:rPr>
        <w:t xml:space="preserve"> iga kahe aasta tagant.</w:t>
      </w:r>
    </w:p>
    <w:p w14:paraId="012AE674" w14:textId="77777777" w:rsidR="00B731C3" w:rsidRDefault="00B731C3" w:rsidP="00B731C3">
      <w:pPr>
        <w:pStyle w:val="muudetavtekst"/>
        <w:rPr>
          <w:rFonts w:asciiTheme="minorHAnsi" w:hAnsiTheme="minorHAnsi" w:cstheme="minorHAnsi"/>
        </w:rPr>
      </w:pPr>
    </w:p>
    <w:p w14:paraId="65D7A2F1" w14:textId="77777777" w:rsidR="00B731C3" w:rsidRDefault="00B731C3" w:rsidP="00B731C3">
      <w:pPr>
        <w:pStyle w:val="muudetavtekst"/>
        <w:rPr>
          <w:rFonts w:asciiTheme="minorHAnsi" w:eastAsiaTheme="minorEastAsia" w:hAnsiTheme="minorHAnsi" w:cstheme="minorBidi"/>
          <w:b/>
          <w:bCs/>
        </w:rPr>
      </w:pPr>
      <w:r w:rsidRPr="00A1511F">
        <w:rPr>
          <w:rFonts w:asciiTheme="minorHAnsi" w:hAnsiTheme="minorHAnsi" w:cstheme="minorBidi"/>
          <w:b/>
          <w:bCs/>
        </w:rPr>
        <w:t>Punktida 53</w:t>
      </w:r>
      <w:r>
        <w:rPr>
          <w:rFonts w:asciiTheme="minorHAnsi" w:hAnsiTheme="minorHAnsi" w:cstheme="minorBidi"/>
        </w:rPr>
        <w:t xml:space="preserve"> tehakse normitehniline märkus: </w:t>
      </w:r>
    </w:p>
    <w:p w14:paraId="1C92D73D" w14:textId="77777777" w:rsidR="00B731C3" w:rsidRDefault="00B731C3" w:rsidP="00B731C3">
      <w:pPr>
        <w:spacing w:after="0" w:line="240" w:lineRule="auto"/>
        <w:jc w:val="both"/>
        <w:rPr>
          <w:rFonts w:eastAsiaTheme="minorEastAsia"/>
          <w:color w:val="333333"/>
          <w:sz w:val="24"/>
          <w:szCs w:val="24"/>
        </w:rPr>
      </w:pPr>
      <w:r w:rsidRPr="00FF33AF">
        <w:rPr>
          <w:rFonts w:eastAsiaTheme="minorEastAsia"/>
          <w:color w:val="333333"/>
          <w:sz w:val="24"/>
          <w:szCs w:val="24"/>
        </w:rPr>
        <w:t>Normitehnilises märkuses asuvate ülevõetud EL direktiivide loetelu muudetakse ning ajakohastatakse direktiivide andmeid. Andmed direktiivile 2012/27/EÜ jäetakse välja ja lisatakse andmed direktiivile 2023/1791, millega asendatakse direktiiv 2012/27/EÜ.</w:t>
      </w:r>
    </w:p>
    <w:p w14:paraId="4857FC60" w14:textId="77777777" w:rsidR="00B731C3" w:rsidRDefault="00B731C3" w:rsidP="00B731C3">
      <w:pPr>
        <w:pStyle w:val="muudetavtekst"/>
        <w:rPr>
          <w:rFonts w:asciiTheme="minorHAnsi" w:hAnsiTheme="minorHAnsi" w:cstheme="minorBidi"/>
        </w:rPr>
      </w:pPr>
    </w:p>
    <w:p w14:paraId="7279D812" w14:textId="77777777" w:rsidR="00B731C3" w:rsidRPr="009109A1" w:rsidRDefault="00B731C3" w:rsidP="00B731C3">
      <w:pPr>
        <w:pStyle w:val="muudetavtekst"/>
        <w:rPr>
          <w:rFonts w:asciiTheme="minorHAnsi" w:hAnsiTheme="minorHAnsi" w:cstheme="minorHAnsi"/>
        </w:rPr>
      </w:pPr>
    </w:p>
    <w:p w14:paraId="47632BA4" w14:textId="77777777" w:rsidR="00B731C3" w:rsidRPr="00C372F2" w:rsidRDefault="00B731C3" w:rsidP="00B731C3">
      <w:pPr>
        <w:pStyle w:val="muudetavtekst"/>
        <w:rPr>
          <w:rFonts w:asciiTheme="minorHAnsi" w:hAnsiTheme="minorHAnsi" w:cstheme="minorHAnsi"/>
          <w:b/>
          <w:bCs/>
        </w:rPr>
      </w:pPr>
      <w:r w:rsidRPr="00C372F2">
        <w:rPr>
          <w:rFonts w:asciiTheme="minorHAnsi" w:hAnsiTheme="minorHAnsi" w:cstheme="minorHAnsi"/>
          <w:b/>
          <w:bCs/>
        </w:rPr>
        <w:t>Eelnõu §-ga 2 muudetakse elektrituruseadust</w:t>
      </w:r>
    </w:p>
    <w:p w14:paraId="428E0B38" w14:textId="77777777" w:rsidR="00B731C3" w:rsidRDefault="00B731C3" w:rsidP="00B731C3">
      <w:pPr>
        <w:pStyle w:val="muudetavtekst"/>
        <w:rPr>
          <w:rFonts w:asciiTheme="minorHAnsi" w:hAnsiTheme="minorHAnsi" w:cstheme="minorHAnsi"/>
        </w:rPr>
      </w:pPr>
    </w:p>
    <w:p w14:paraId="5E51389C" w14:textId="77777777" w:rsidR="00B731C3" w:rsidRDefault="00B731C3" w:rsidP="00B731C3">
      <w:pPr>
        <w:spacing w:after="0" w:line="240" w:lineRule="auto"/>
        <w:ind w:left="10" w:right="60" w:hanging="10"/>
        <w:jc w:val="both"/>
        <w:rPr>
          <w:rFonts w:ascii="Times New Roman" w:eastAsia="Times New Roman" w:hAnsi="Times New Roman" w:cs="Times New Roman"/>
          <w:color w:val="000000"/>
          <w:kern w:val="2"/>
          <w:sz w:val="24"/>
          <w:szCs w:val="24"/>
          <w:lang w:eastAsia="et-EE"/>
          <w14:ligatures w14:val="standardContextual"/>
        </w:rPr>
      </w:pPr>
      <w:r w:rsidRPr="57490200">
        <w:rPr>
          <w:rFonts w:ascii="Times New Roman" w:eastAsia="Times New Roman" w:hAnsi="Times New Roman" w:cs="Times New Roman"/>
          <w:b/>
          <w:bCs/>
          <w:color w:val="000000"/>
          <w:kern w:val="2"/>
          <w:sz w:val="24"/>
          <w:szCs w:val="24"/>
          <w:lang w:eastAsia="et-EE"/>
          <w14:ligatures w14:val="standardContextual"/>
        </w:rPr>
        <w:t xml:space="preserve">Punktiga 1 </w:t>
      </w:r>
      <w:r w:rsidRPr="57490200">
        <w:rPr>
          <w:rFonts w:ascii="Times New Roman" w:eastAsia="Times New Roman" w:hAnsi="Times New Roman" w:cs="Times New Roman"/>
          <w:color w:val="000000"/>
          <w:kern w:val="2"/>
          <w:sz w:val="24"/>
          <w:szCs w:val="24"/>
          <w:lang w:eastAsia="et-EE"/>
          <w14:ligatures w14:val="standardContextual"/>
        </w:rPr>
        <w:t xml:space="preserve">lisatakse </w:t>
      </w:r>
      <w:r>
        <w:rPr>
          <w:rFonts w:ascii="Times New Roman" w:eastAsia="Times New Roman" w:hAnsi="Times New Roman" w:cs="Times New Roman"/>
          <w:color w:val="000000"/>
          <w:kern w:val="2"/>
          <w:sz w:val="24"/>
          <w:szCs w:val="24"/>
          <w:lang w:eastAsia="et-EE"/>
          <w14:ligatures w14:val="standardContextual"/>
        </w:rPr>
        <w:t xml:space="preserve">elektrituruseaduse </w:t>
      </w:r>
      <w:r w:rsidRPr="51248E01">
        <w:t>§</w:t>
      </w:r>
      <w:r w:rsidRPr="57490200">
        <w:rPr>
          <w:rFonts w:ascii="Times New Roman" w:eastAsia="Times New Roman" w:hAnsi="Times New Roman" w:cs="Times New Roman"/>
          <w:color w:val="000000"/>
          <w:kern w:val="2"/>
          <w:sz w:val="24"/>
          <w:szCs w:val="24"/>
          <w:lang w:eastAsia="et-EE"/>
          <w14:ligatures w14:val="standardContextual"/>
        </w:rPr>
        <w:t xml:space="preserve"> 65 lõige 11. Esikohale seatakse tarbimise juhtimise lahendused</w:t>
      </w:r>
      <w:r>
        <w:rPr>
          <w:rFonts w:ascii="Times New Roman" w:eastAsia="Times New Roman" w:hAnsi="Times New Roman" w:cs="Times New Roman"/>
          <w:color w:val="000000"/>
          <w:kern w:val="2"/>
          <w:sz w:val="24"/>
          <w:szCs w:val="24"/>
          <w:lang w:eastAsia="et-EE"/>
          <w14:ligatures w14:val="standardContextual"/>
        </w:rPr>
        <w:t xml:space="preserve">, </w:t>
      </w:r>
      <w:r w:rsidRPr="57490200">
        <w:rPr>
          <w:rFonts w:ascii="Times New Roman" w:eastAsia="Times New Roman" w:hAnsi="Times New Roman" w:cs="Times New Roman"/>
          <w:color w:val="000000"/>
          <w:kern w:val="2"/>
          <w:sz w:val="24"/>
          <w:szCs w:val="24"/>
          <w:lang w:eastAsia="et-EE"/>
          <w14:ligatures w14:val="standardContextual"/>
        </w:rPr>
        <w:t xml:space="preserve">kui nende abil on võimalik </w:t>
      </w:r>
      <w:r w:rsidRPr="57490200">
        <w:rPr>
          <w:rFonts w:ascii="Times New Roman" w:eastAsia="Times New Roman" w:hAnsi="Times New Roman" w:cs="Times New Roman"/>
          <w:color w:val="000000" w:themeColor="text1"/>
          <w:sz w:val="24"/>
          <w:szCs w:val="24"/>
          <w:lang w:eastAsia="et-EE"/>
        </w:rPr>
        <w:t>poliitikaeesmärgid</w:t>
      </w:r>
      <w:r w:rsidRPr="57490200">
        <w:rPr>
          <w:rFonts w:ascii="Times New Roman" w:eastAsia="Times New Roman" w:hAnsi="Times New Roman" w:cs="Times New Roman"/>
          <w:color w:val="000000"/>
          <w:kern w:val="2"/>
          <w:sz w:val="24"/>
          <w:szCs w:val="24"/>
          <w:lang w:eastAsia="et-EE"/>
          <w14:ligatures w14:val="standardContextual"/>
        </w:rPr>
        <w:t xml:space="preserve"> saavutada kulutõhusamalt </w:t>
      </w:r>
      <w:r>
        <w:rPr>
          <w:rFonts w:ascii="Times New Roman" w:eastAsia="Times New Roman" w:hAnsi="Times New Roman" w:cs="Times New Roman"/>
          <w:color w:val="000000"/>
          <w:kern w:val="2"/>
          <w:sz w:val="24"/>
          <w:szCs w:val="24"/>
          <w:lang w:eastAsia="et-EE"/>
          <w14:ligatures w14:val="standardContextual"/>
        </w:rPr>
        <w:t xml:space="preserve">kui taristuettevõtja tehtavate investeeringutega </w:t>
      </w:r>
      <w:r w:rsidRPr="57490200">
        <w:rPr>
          <w:rFonts w:ascii="Times New Roman" w:eastAsia="Times New Roman" w:hAnsi="Times New Roman" w:cs="Times New Roman"/>
          <w:color w:val="000000"/>
          <w:kern w:val="2"/>
          <w:sz w:val="24"/>
          <w:szCs w:val="24"/>
          <w:lang w:eastAsia="et-EE"/>
          <w14:ligatures w14:val="standardContextual"/>
        </w:rPr>
        <w:t xml:space="preserve">energiataristusse. </w:t>
      </w:r>
      <w:r>
        <w:rPr>
          <w:rFonts w:ascii="Times New Roman" w:eastAsia="Times New Roman" w:hAnsi="Times New Roman" w:cs="Times New Roman"/>
          <w:color w:val="000000"/>
          <w:kern w:val="2"/>
          <w:sz w:val="24"/>
          <w:szCs w:val="24"/>
          <w:lang w:eastAsia="et-EE"/>
          <w14:ligatures w14:val="standardContextual"/>
        </w:rPr>
        <w:t>Sellekohane</w:t>
      </w:r>
      <w:r w:rsidRPr="57490200">
        <w:rPr>
          <w:rFonts w:ascii="Times New Roman" w:eastAsia="Times New Roman" w:hAnsi="Times New Roman" w:cs="Times New Roman"/>
          <w:color w:val="000000"/>
          <w:kern w:val="2"/>
          <w:sz w:val="24"/>
          <w:szCs w:val="24"/>
          <w:lang w:eastAsia="et-EE"/>
          <w14:ligatures w14:val="standardContextual"/>
        </w:rPr>
        <w:t xml:space="preserve"> kulu-tulu</w:t>
      </w:r>
      <w:r w:rsidRPr="57490200">
        <w:rPr>
          <w:rFonts w:ascii="Times New Roman" w:eastAsia="Times New Roman" w:hAnsi="Times New Roman" w:cs="Times New Roman"/>
          <w:color w:val="000000" w:themeColor="text1"/>
          <w:sz w:val="24"/>
          <w:szCs w:val="24"/>
          <w:lang w:eastAsia="et-EE"/>
        </w:rPr>
        <w:t xml:space="preserve"> analüüs peab näitama, et välditaks </w:t>
      </w:r>
      <w:r>
        <w:rPr>
          <w:rFonts w:ascii="Times New Roman" w:eastAsia="Times New Roman" w:hAnsi="Times New Roman" w:cs="Times New Roman"/>
          <w:color w:val="000000" w:themeColor="text1"/>
          <w:sz w:val="24"/>
          <w:szCs w:val="24"/>
          <w:lang w:eastAsia="et-EE"/>
        </w:rPr>
        <w:t xml:space="preserve">ebavajalikke </w:t>
      </w:r>
      <w:r w:rsidRPr="57490200">
        <w:rPr>
          <w:rFonts w:ascii="Times New Roman" w:eastAsia="Times New Roman" w:hAnsi="Times New Roman" w:cs="Times New Roman"/>
          <w:color w:val="000000" w:themeColor="text1"/>
          <w:sz w:val="24"/>
          <w:szCs w:val="24"/>
          <w:lang w:eastAsia="et-EE"/>
        </w:rPr>
        <w:t xml:space="preserve">investeeringuid </w:t>
      </w:r>
      <w:r>
        <w:rPr>
          <w:rFonts w:ascii="Times New Roman" w:eastAsia="Times New Roman" w:hAnsi="Times New Roman" w:cs="Times New Roman"/>
          <w:color w:val="000000" w:themeColor="text1"/>
          <w:sz w:val="24"/>
          <w:szCs w:val="24"/>
          <w:lang w:eastAsia="et-EE"/>
        </w:rPr>
        <w:t xml:space="preserve">füüsilisse </w:t>
      </w:r>
      <w:r w:rsidRPr="57490200">
        <w:rPr>
          <w:rFonts w:ascii="Times New Roman" w:eastAsia="Times New Roman" w:hAnsi="Times New Roman" w:cs="Times New Roman"/>
          <w:color w:val="000000" w:themeColor="text1"/>
          <w:sz w:val="24"/>
          <w:szCs w:val="24"/>
          <w:lang w:eastAsia="et-EE"/>
        </w:rPr>
        <w:t>varasse</w:t>
      </w:r>
      <w:r>
        <w:rPr>
          <w:rFonts w:ascii="Times New Roman" w:eastAsia="Times New Roman" w:hAnsi="Times New Roman" w:cs="Times New Roman"/>
          <w:color w:val="000000" w:themeColor="text1"/>
          <w:sz w:val="24"/>
          <w:szCs w:val="24"/>
          <w:lang w:eastAsia="et-EE"/>
        </w:rPr>
        <w:t xml:space="preserve"> ja </w:t>
      </w:r>
      <w:r w:rsidRPr="57490200">
        <w:rPr>
          <w:rFonts w:ascii="Times New Roman" w:eastAsia="Times New Roman" w:hAnsi="Times New Roman" w:cs="Times New Roman"/>
          <w:color w:val="000000" w:themeColor="text1"/>
          <w:sz w:val="24"/>
          <w:szCs w:val="24"/>
          <w:lang w:eastAsia="et-EE"/>
        </w:rPr>
        <w:t xml:space="preserve">samal ajal võetakse arvesse kliimamuutuste tagajärgi, nende mõju taristule ja materjalikasutusele. </w:t>
      </w:r>
      <w:r>
        <w:rPr>
          <w:rFonts w:ascii="Times New Roman" w:eastAsia="Times New Roman" w:hAnsi="Times New Roman" w:cs="Times New Roman"/>
          <w:color w:val="000000" w:themeColor="text1"/>
          <w:sz w:val="24"/>
          <w:szCs w:val="24"/>
          <w:lang w:eastAsia="et-EE"/>
        </w:rPr>
        <w:t>See tähendab, et e</w:t>
      </w:r>
      <w:r w:rsidRPr="57490200">
        <w:rPr>
          <w:rFonts w:ascii="Times New Roman" w:eastAsia="Times New Roman" w:hAnsi="Times New Roman" w:cs="Times New Roman"/>
          <w:color w:val="000000" w:themeColor="text1"/>
          <w:sz w:val="24"/>
          <w:szCs w:val="24"/>
          <w:lang w:eastAsia="et-EE"/>
        </w:rPr>
        <w:t>nergiatõhusust käsitatakse omaette energiaallikana, mi</w:t>
      </w:r>
      <w:r>
        <w:rPr>
          <w:rFonts w:ascii="Times New Roman" w:eastAsia="Times New Roman" w:hAnsi="Times New Roman" w:cs="Times New Roman"/>
          <w:color w:val="000000" w:themeColor="text1"/>
          <w:sz w:val="24"/>
          <w:szCs w:val="24"/>
          <w:lang w:eastAsia="et-EE"/>
        </w:rPr>
        <w:t>da võiks kasutada enne, kui hakata</w:t>
      </w:r>
      <w:r w:rsidRPr="57490200">
        <w:rPr>
          <w:rFonts w:ascii="Times New Roman" w:eastAsia="Times New Roman" w:hAnsi="Times New Roman" w:cs="Times New Roman"/>
          <w:color w:val="000000" w:themeColor="text1"/>
          <w:sz w:val="24"/>
          <w:szCs w:val="24"/>
          <w:lang w:eastAsia="et-EE"/>
        </w:rPr>
        <w:t xml:space="preserve"> </w:t>
      </w:r>
      <w:r>
        <w:rPr>
          <w:rFonts w:ascii="Times New Roman" w:eastAsia="Times New Roman" w:hAnsi="Times New Roman" w:cs="Times New Roman"/>
          <w:color w:val="000000" w:themeColor="text1"/>
          <w:sz w:val="24"/>
          <w:szCs w:val="24"/>
          <w:lang w:eastAsia="et-EE"/>
        </w:rPr>
        <w:t xml:space="preserve">tegema </w:t>
      </w:r>
      <w:r w:rsidRPr="57490200">
        <w:rPr>
          <w:rFonts w:ascii="Times New Roman" w:eastAsia="Times New Roman" w:hAnsi="Times New Roman" w:cs="Times New Roman"/>
          <w:color w:val="000000" w:themeColor="text1"/>
          <w:sz w:val="24"/>
          <w:szCs w:val="24"/>
          <w:lang w:eastAsia="et-EE"/>
        </w:rPr>
        <w:t>investeeri</w:t>
      </w:r>
      <w:r>
        <w:rPr>
          <w:rFonts w:ascii="Times New Roman" w:eastAsia="Times New Roman" w:hAnsi="Times New Roman" w:cs="Times New Roman"/>
          <w:color w:val="000000" w:themeColor="text1"/>
          <w:sz w:val="24"/>
          <w:szCs w:val="24"/>
          <w:lang w:eastAsia="et-EE"/>
        </w:rPr>
        <w:t>nguid</w:t>
      </w:r>
      <w:r w:rsidRPr="57490200">
        <w:rPr>
          <w:rFonts w:ascii="Times New Roman" w:eastAsia="Times New Roman" w:hAnsi="Times New Roman" w:cs="Times New Roman"/>
          <w:color w:val="000000" w:themeColor="text1"/>
          <w:sz w:val="24"/>
          <w:szCs w:val="24"/>
          <w:lang w:eastAsia="et-EE"/>
        </w:rPr>
        <w:t xml:space="preserve"> keerukama</w:t>
      </w:r>
      <w:r>
        <w:rPr>
          <w:rFonts w:ascii="Times New Roman" w:eastAsia="Times New Roman" w:hAnsi="Times New Roman" w:cs="Times New Roman"/>
          <w:color w:val="000000" w:themeColor="text1"/>
          <w:sz w:val="24"/>
          <w:szCs w:val="24"/>
          <w:lang w:eastAsia="et-EE"/>
        </w:rPr>
        <w:t>tesse</w:t>
      </w:r>
      <w:r w:rsidRPr="57490200">
        <w:rPr>
          <w:rFonts w:ascii="Times New Roman" w:eastAsia="Times New Roman" w:hAnsi="Times New Roman" w:cs="Times New Roman"/>
          <w:color w:val="000000" w:themeColor="text1"/>
          <w:sz w:val="24"/>
          <w:szCs w:val="24"/>
          <w:lang w:eastAsia="et-EE"/>
        </w:rPr>
        <w:t xml:space="preserve"> või kulukama</w:t>
      </w:r>
      <w:r>
        <w:rPr>
          <w:rFonts w:ascii="Times New Roman" w:eastAsia="Times New Roman" w:hAnsi="Times New Roman" w:cs="Times New Roman"/>
          <w:color w:val="000000" w:themeColor="text1"/>
          <w:sz w:val="24"/>
          <w:szCs w:val="24"/>
          <w:lang w:eastAsia="et-EE"/>
        </w:rPr>
        <w:t>tesse</w:t>
      </w:r>
      <w:r w:rsidRPr="57490200">
        <w:rPr>
          <w:rFonts w:ascii="Times New Roman" w:eastAsia="Times New Roman" w:hAnsi="Times New Roman" w:cs="Times New Roman"/>
          <w:color w:val="000000" w:themeColor="text1"/>
          <w:sz w:val="24"/>
          <w:szCs w:val="24"/>
          <w:lang w:eastAsia="et-EE"/>
        </w:rPr>
        <w:t xml:space="preserve"> </w:t>
      </w:r>
      <w:r>
        <w:rPr>
          <w:rFonts w:ascii="Times New Roman" w:eastAsia="Times New Roman" w:hAnsi="Times New Roman" w:cs="Times New Roman"/>
          <w:color w:val="000000" w:themeColor="text1"/>
          <w:sz w:val="24"/>
          <w:szCs w:val="24"/>
          <w:lang w:eastAsia="et-EE"/>
        </w:rPr>
        <w:t>energia</w:t>
      </w:r>
      <w:r w:rsidRPr="57490200">
        <w:rPr>
          <w:rFonts w:ascii="Times New Roman" w:eastAsia="Times New Roman" w:hAnsi="Times New Roman" w:cs="Times New Roman"/>
          <w:color w:val="000000" w:themeColor="text1"/>
          <w:sz w:val="24"/>
          <w:szCs w:val="24"/>
          <w:lang w:eastAsia="et-EE"/>
        </w:rPr>
        <w:t>allika</w:t>
      </w:r>
      <w:r>
        <w:rPr>
          <w:rFonts w:ascii="Times New Roman" w:eastAsia="Times New Roman" w:hAnsi="Times New Roman" w:cs="Times New Roman"/>
          <w:color w:val="000000" w:themeColor="text1"/>
          <w:sz w:val="24"/>
          <w:szCs w:val="24"/>
          <w:lang w:eastAsia="et-EE"/>
        </w:rPr>
        <w:t xml:space="preserve">tesse või -tootmisviisidesse ja füüsilisse varasse, sh täiendava energiataristu rajamist. Seejuures tuleks </w:t>
      </w:r>
      <w:r w:rsidRPr="57490200">
        <w:rPr>
          <w:rFonts w:ascii="Times New Roman" w:eastAsia="Times New Roman" w:hAnsi="Times New Roman" w:cs="Times New Roman"/>
          <w:color w:val="000000" w:themeColor="text1"/>
          <w:sz w:val="24"/>
          <w:szCs w:val="24"/>
          <w:lang w:eastAsia="et-EE"/>
        </w:rPr>
        <w:t>arvestad</w:t>
      </w:r>
      <w:r>
        <w:rPr>
          <w:rFonts w:ascii="Times New Roman" w:eastAsia="Times New Roman" w:hAnsi="Times New Roman" w:cs="Times New Roman"/>
          <w:color w:val="000000" w:themeColor="text1"/>
          <w:sz w:val="24"/>
          <w:szCs w:val="24"/>
          <w:lang w:eastAsia="et-EE"/>
        </w:rPr>
        <w:t>a</w:t>
      </w:r>
      <w:r w:rsidRPr="57490200">
        <w:rPr>
          <w:rFonts w:ascii="Times New Roman" w:eastAsia="Times New Roman" w:hAnsi="Times New Roman" w:cs="Times New Roman"/>
          <w:color w:val="000000" w:themeColor="text1"/>
          <w:sz w:val="24"/>
          <w:szCs w:val="24"/>
          <w:lang w:eastAsia="et-EE"/>
        </w:rPr>
        <w:t xml:space="preserve"> üleminekut traditsiooniliselt energiatootmise ja -tarbimise mudelilt</w:t>
      </w:r>
      <w:r>
        <w:rPr>
          <w:rFonts w:ascii="Times New Roman" w:eastAsia="Times New Roman" w:hAnsi="Times New Roman" w:cs="Times New Roman"/>
          <w:color w:val="000000" w:themeColor="text1"/>
          <w:sz w:val="24"/>
          <w:szCs w:val="24"/>
          <w:lang w:eastAsia="et-EE"/>
        </w:rPr>
        <w:t xml:space="preserve"> </w:t>
      </w:r>
      <w:r w:rsidRPr="57490200">
        <w:rPr>
          <w:rFonts w:ascii="Times New Roman" w:eastAsia="Times New Roman" w:hAnsi="Times New Roman" w:cs="Times New Roman"/>
          <w:color w:val="000000" w:themeColor="text1"/>
          <w:sz w:val="24"/>
          <w:szCs w:val="24"/>
          <w:lang w:eastAsia="et-EE"/>
        </w:rPr>
        <w:t xml:space="preserve">paindlikumale </w:t>
      </w:r>
      <w:r>
        <w:rPr>
          <w:rFonts w:ascii="Times New Roman" w:eastAsia="Times New Roman" w:hAnsi="Times New Roman" w:cs="Times New Roman"/>
          <w:color w:val="000000" w:themeColor="text1"/>
          <w:sz w:val="24"/>
          <w:szCs w:val="24"/>
          <w:lang w:eastAsia="et-EE"/>
        </w:rPr>
        <w:t>energia</w:t>
      </w:r>
      <w:r w:rsidRPr="57490200">
        <w:rPr>
          <w:rFonts w:ascii="Times New Roman" w:eastAsia="Times New Roman" w:hAnsi="Times New Roman" w:cs="Times New Roman"/>
          <w:color w:val="000000" w:themeColor="text1"/>
          <w:sz w:val="24"/>
          <w:szCs w:val="24"/>
          <w:lang w:eastAsia="et-EE"/>
        </w:rPr>
        <w:t xml:space="preserve">süsteemile </w:t>
      </w:r>
      <w:r>
        <w:rPr>
          <w:rFonts w:ascii="Times New Roman" w:eastAsia="Times New Roman" w:hAnsi="Times New Roman" w:cs="Times New Roman"/>
          <w:color w:val="000000" w:themeColor="text1"/>
          <w:sz w:val="24"/>
          <w:szCs w:val="24"/>
          <w:lang w:eastAsia="et-EE"/>
        </w:rPr>
        <w:t xml:space="preserve">(st rohkem hajatootmist ning juhitamatuid ehk taastuvaid energiaallikaid, rohkem aktiivseid tarbijaid, kes oma tarbimist ajastada võivad, ning süsteemis võimsama energiasalvestuse olemasolu, mis aitab nõudluse juhtimise ja tarbimise ning tootmise reaalaja tasakaalu hoida). </w:t>
      </w:r>
    </w:p>
    <w:p w14:paraId="6CF5ADA2" w14:textId="77777777" w:rsidR="00B731C3" w:rsidRDefault="00B731C3" w:rsidP="00B731C3">
      <w:pPr>
        <w:spacing w:after="0" w:line="240" w:lineRule="auto"/>
        <w:ind w:left="10" w:right="60" w:hanging="10"/>
        <w:jc w:val="both"/>
        <w:rPr>
          <w:rFonts w:ascii="Times New Roman" w:eastAsia="Times New Roman" w:hAnsi="Times New Roman" w:cs="Times New Roman"/>
          <w:b/>
          <w:color w:val="000000"/>
          <w:kern w:val="2"/>
          <w:sz w:val="24"/>
          <w:szCs w:val="24"/>
          <w:lang w:eastAsia="et-EE"/>
          <w14:ligatures w14:val="standardContextual"/>
        </w:rPr>
      </w:pPr>
    </w:p>
    <w:p w14:paraId="28130E73" w14:textId="77777777" w:rsidR="00B731C3" w:rsidRPr="00D40ADB" w:rsidRDefault="00B731C3" w:rsidP="00B731C3">
      <w:pPr>
        <w:spacing w:after="0" w:line="240" w:lineRule="auto"/>
        <w:ind w:left="10" w:right="60" w:hanging="10"/>
        <w:jc w:val="both"/>
        <w:rPr>
          <w:rFonts w:ascii="Times New Roman" w:eastAsia="Times New Roman" w:hAnsi="Times New Roman" w:cs="Times New Roman"/>
          <w:kern w:val="2"/>
          <w:sz w:val="24"/>
          <w:szCs w:val="24"/>
          <w:lang w:eastAsia="et-EE"/>
          <w14:ligatures w14:val="standardContextual"/>
        </w:rPr>
      </w:pPr>
      <w:r w:rsidRPr="00937F46">
        <w:rPr>
          <w:rFonts w:ascii="Times New Roman" w:eastAsia="Times New Roman" w:hAnsi="Times New Roman" w:cs="Times New Roman"/>
          <w:b/>
          <w:bCs/>
          <w:color w:val="000000"/>
          <w:kern w:val="2"/>
          <w:sz w:val="24"/>
          <w:szCs w:val="24"/>
          <w:lang w:eastAsia="et-EE"/>
          <w14:ligatures w14:val="standardContextual"/>
        </w:rPr>
        <w:t>Punktiga 2</w:t>
      </w:r>
      <w:r>
        <w:rPr>
          <w:rFonts w:ascii="Times New Roman" w:eastAsia="Times New Roman" w:hAnsi="Times New Roman" w:cs="Times New Roman"/>
          <w:color w:val="000000"/>
          <w:kern w:val="2"/>
          <w:sz w:val="24"/>
          <w:szCs w:val="24"/>
          <w:lang w:eastAsia="et-EE"/>
          <w14:ligatures w14:val="standardContextual"/>
        </w:rPr>
        <w:t xml:space="preserve"> </w:t>
      </w:r>
      <w:r w:rsidRPr="00D40ADB">
        <w:rPr>
          <w:rFonts w:ascii="Times New Roman" w:eastAsia="Times New Roman" w:hAnsi="Times New Roman" w:cs="Times New Roman"/>
          <w:color w:val="000000"/>
          <w:kern w:val="2"/>
          <w:sz w:val="24"/>
          <w:szCs w:val="24"/>
          <w:lang w:eastAsia="et-EE"/>
          <w14:ligatures w14:val="standardContextual"/>
        </w:rPr>
        <w:t xml:space="preserve">muudetakse </w:t>
      </w:r>
      <w:r w:rsidRPr="51248E01">
        <w:t>§</w:t>
      </w:r>
      <w:r w:rsidRPr="00D40ADB">
        <w:rPr>
          <w:rFonts w:ascii="Times New Roman" w:eastAsia="Times New Roman" w:hAnsi="Times New Roman" w:cs="Times New Roman"/>
          <w:color w:val="000000"/>
          <w:kern w:val="2"/>
          <w:sz w:val="24"/>
          <w:szCs w:val="24"/>
          <w:lang w:eastAsia="et-EE"/>
          <w14:ligatures w14:val="standardContextual"/>
        </w:rPr>
        <w:t xml:space="preserve"> 66 lõiget 14. </w:t>
      </w:r>
      <w:r w:rsidRPr="00D40ADB">
        <w:rPr>
          <w:rFonts w:ascii="Times New Roman" w:eastAsia="Times New Roman" w:hAnsi="Times New Roman" w:cs="Times New Roman"/>
          <w:kern w:val="2"/>
          <w:sz w:val="24"/>
          <w:szCs w:val="24"/>
          <w:lang w:eastAsia="et-EE"/>
          <w14:ligatures w14:val="standardContextual"/>
        </w:rPr>
        <w:t>Energiatõhusus on üks energialiidu</w:t>
      </w:r>
      <w:r>
        <w:rPr>
          <w:rStyle w:val="Allmrkuseviide"/>
          <w:rFonts w:ascii="Times New Roman" w:eastAsia="Times New Roman" w:hAnsi="Times New Roman" w:cs="Times New Roman"/>
          <w:kern w:val="2"/>
          <w:sz w:val="24"/>
          <w:szCs w:val="24"/>
          <w:lang w:eastAsia="et-EE"/>
          <w14:ligatures w14:val="standardContextual"/>
        </w:rPr>
        <w:footnoteReference w:id="69"/>
      </w:r>
      <w:r w:rsidRPr="00D40ADB">
        <w:rPr>
          <w:rFonts w:ascii="Times New Roman" w:eastAsia="Times New Roman" w:hAnsi="Times New Roman" w:cs="Times New Roman"/>
          <w:kern w:val="2"/>
          <w:sz w:val="24"/>
          <w:szCs w:val="24"/>
          <w:lang w:eastAsia="et-EE"/>
          <w14:ligatures w14:val="standardContextual"/>
        </w:rPr>
        <w:t xml:space="preserve"> tugisambaid, et Euroopa Liit saavutaks oma puhta energia ja kliimaga seotud eesmärgid</w:t>
      </w:r>
      <w:r>
        <w:rPr>
          <w:rFonts w:ascii="Times New Roman" w:eastAsia="Times New Roman" w:hAnsi="Times New Roman" w:cs="Times New Roman"/>
          <w:kern w:val="2"/>
          <w:sz w:val="24"/>
          <w:szCs w:val="24"/>
          <w:lang w:eastAsia="et-EE"/>
          <w14:ligatures w14:val="standardContextual"/>
        </w:rPr>
        <w:t>,</w:t>
      </w:r>
      <w:r w:rsidRPr="00D40ADB">
        <w:rPr>
          <w:rFonts w:ascii="Times New Roman" w:eastAsia="Times New Roman" w:hAnsi="Times New Roman" w:cs="Times New Roman"/>
          <w:kern w:val="2"/>
          <w:sz w:val="24"/>
          <w:szCs w:val="24"/>
          <w:lang w:eastAsia="et-EE"/>
          <w14:ligatures w14:val="standardContextual"/>
        </w:rPr>
        <w:t xml:space="preserve"> sh energiatõhususe m</w:t>
      </w:r>
      <w:r>
        <w:rPr>
          <w:rFonts w:ascii="Times New Roman" w:eastAsia="Times New Roman" w:hAnsi="Times New Roman" w:cs="Times New Roman"/>
          <w:kern w:val="2"/>
          <w:sz w:val="24"/>
          <w:szCs w:val="24"/>
          <w:lang w:eastAsia="et-EE"/>
          <w14:ligatures w14:val="standardContextual"/>
        </w:rPr>
        <w:t>i</w:t>
      </w:r>
      <w:r w:rsidRPr="00D40ADB">
        <w:rPr>
          <w:rFonts w:ascii="Times New Roman" w:eastAsia="Times New Roman" w:hAnsi="Times New Roman" w:cs="Times New Roman"/>
          <w:kern w:val="2"/>
          <w:sz w:val="24"/>
          <w:szCs w:val="24"/>
          <w:lang w:eastAsia="et-EE"/>
          <w14:ligatures w14:val="standardContextual"/>
        </w:rPr>
        <w:t>inim</w:t>
      </w:r>
      <w:r>
        <w:rPr>
          <w:rFonts w:ascii="Times New Roman" w:eastAsia="Times New Roman" w:hAnsi="Times New Roman" w:cs="Times New Roman"/>
          <w:kern w:val="2"/>
          <w:sz w:val="24"/>
          <w:szCs w:val="24"/>
          <w:lang w:eastAsia="et-EE"/>
          <w14:ligatures w14:val="standardContextual"/>
        </w:rPr>
        <w:t>umeesmärgi</w:t>
      </w:r>
      <w:r w:rsidRPr="00D40ADB">
        <w:rPr>
          <w:rFonts w:ascii="Times New Roman" w:eastAsia="Times New Roman" w:hAnsi="Times New Roman" w:cs="Times New Roman"/>
          <w:kern w:val="2"/>
          <w:sz w:val="24"/>
          <w:szCs w:val="24"/>
          <w:lang w:eastAsia="et-EE"/>
          <w14:ligatures w14:val="standardContextual"/>
        </w:rPr>
        <w:t xml:space="preserve"> 32,5% aastaks 2030</w:t>
      </w:r>
      <w:r>
        <w:rPr>
          <w:rFonts w:ascii="Times New Roman" w:eastAsia="Times New Roman" w:hAnsi="Times New Roman" w:cs="Times New Roman"/>
          <w:kern w:val="2"/>
          <w:sz w:val="24"/>
          <w:szCs w:val="24"/>
          <w:lang w:eastAsia="et-EE"/>
          <w14:ligatures w14:val="standardContextual"/>
        </w:rPr>
        <w:t xml:space="preserve"> prognoositud energiatarbimisest</w:t>
      </w:r>
      <w:r w:rsidRPr="00D40ADB">
        <w:rPr>
          <w:rFonts w:ascii="Times New Roman" w:eastAsia="Times New Roman" w:hAnsi="Times New Roman" w:cs="Times New Roman"/>
          <w:kern w:val="2"/>
          <w:sz w:val="24"/>
          <w:szCs w:val="24"/>
          <w:lang w:eastAsia="et-EE"/>
          <w14:ligatures w14:val="standardContextual"/>
        </w:rPr>
        <w:t>. Eesmärgi täitmiseks koostavad ja seejärel rakendavad liikmesriigid riiklikud energia- ja kliimakavad (küm</w:t>
      </w:r>
      <w:r>
        <w:rPr>
          <w:rFonts w:ascii="Times New Roman" w:eastAsia="Times New Roman" w:hAnsi="Times New Roman" w:cs="Times New Roman"/>
          <w:kern w:val="2"/>
          <w:sz w:val="24"/>
          <w:szCs w:val="24"/>
          <w:lang w:eastAsia="et-EE"/>
          <w14:ligatures w14:val="standardContextual"/>
        </w:rPr>
        <w:t>n</w:t>
      </w:r>
      <w:r w:rsidRPr="00D40ADB">
        <w:rPr>
          <w:rFonts w:ascii="Times New Roman" w:eastAsia="Times New Roman" w:hAnsi="Times New Roman" w:cs="Times New Roman"/>
          <w:kern w:val="2"/>
          <w:sz w:val="24"/>
          <w:szCs w:val="24"/>
          <w:lang w:eastAsia="et-EE"/>
          <w14:ligatures w14:val="standardContextual"/>
        </w:rPr>
        <w:t>e</w:t>
      </w:r>
      <w:r>
        <w:rPr>
          <w:rFonts w:ascii="Times New Roman" w:eastAsia="Times New Roman" w:hAnsi="Times New Roman" w:cs="Times New Roman"/>
          <w:kern w:val="2"/>
          <w:sz w:val="24"/>
          <w:szCs w:val="24"/>
          <w:lang w:eastAsia="et-EE"/>
          <w14:ligatures w14:val="standardContextual"/>
        </w:rPr>
        <w:t>ks</w:t>
      </w:r>
      <w:r w:rsidRPr="00D40ADB">
        <w:rPr>
          <w:rFonts w:ascii="Times New Roman" w:eastAsia="Times New Roman" w:hAnsi="Times New Roman" w:cs="Times New Roman"/>
          <w:kern w:val="2"/>
          <w:sz w:val="24"/>
          <w:szCs w:val="24"/>
          <w:lang w:eastAsia="et-EE"/>
          <w14:ligatures w14:val="standardContextual"/>
        </w:rPr>
        <w:t xml:space="preserve"> aasta</w:t>
      </w:r>
      <w:r>
        <w:rPr>
          <w:rFonts w:ascii="Times New Roman" w:eastAsia="Times New Roman" w:hAnsi="Times New Roman" w:cs="Times New Roman"/>
          <w:kern w:val="2"/>
          <w:sz w:val="24"/>
          <w:szCs w:val="24"/>
          <w:lang w:eastAsia="et-EE"/>
          <w14:ligatures w14:val="standardContextual"/>
        </w:rPr>
        <w:t>ks</w:t>
      </w:r>
      <w:r w:rsidRPr="00D40ADB">
        <w:rPr>
          <w:rFonts w:ascii="Times New Roman" w:eastAsia="Times New Roman" w:hAnsi="Times New Roman" w:cs="Times New Roman"/>
          <w:kern w:val="2"/>
          <w:sz w:val="24"/>
          <w:szCs w:val="24"/>
          <w:lang w:eastAsia="et-EE"/>
          <w14:ligatures w14:val="standardContextual"/>
        </w:rPr>
        <w:t>). Energiatõhususe esikohale seadmise põhimõt</w:t>
      </w:r>
      <w:r>
        <w:rPr>
          <w:rFonts w:ascii="Times New Roman" w:eastAsia="Times New Roman" w:hAnsi="Times New Roman" w:cs="Times New Roman"/>
          <w:kern w:val="2"/>
          <w:sz w:val="24"/>
          <w:szCs w:val="24"/>
          <w:lang w:eastAsia="et-EE"/>
          <w14:ligatures w14:val="standardContextual"/>
        </w:rPr>
        <w:t>t</w:t>
      </w:r>
      <w:r w:rsidRPr="00D40ADB">
        <w:rPr>
          <w:rFonts w:ascii="Times New Roman" w:eastAsia="Times New Roman" w:hAnsi="Times New Roman" w:cs="Times New Roman"/>
          <w:kern w:val="2"/>
          <w:sz w:val="24"/>
          <w:szCs w:val="24"/>
          <w:lang w:eastAsia="et-EE"/>
          <w14:ligatures w14:val="standardContextual"/>
        </w:rPr>
        <w:t xml:space="preserve">e </w:t>
      </w:r>
      <w:r>
        <w:rPr>
          <w:rFonts w:ascii="Times New Roman" w:eastAsia="Times New Roman" w:hAnsi="Times New Roman" w:cs="Times New Roman"/>
          <w:kern w:val="2"/>
          <w:sz w:val="24"/>
          <w:szCs w:val="24"/>
          <w:lang w:eastAsia="et-EE"/>
          <w14:ligatures w14:val="standardContextual"/>
        </w:rPr>
        <w:t>järgimine</w:t>
      </w:r>
      <w:r w:rsidRPr="00D40ADB">
        <w:rPr>
          <w:rFonts w:ascii="Times New Roman" w:eastAsia="Times New Roman" w:hAnsi="Times New Roman" w:cs="Times New Roman"/>
          <w:kern w:val="2"/>
          <w:sz w:val="24"/>
          <w:szCs w:val="24"/>
          <w:lang w:eastAsia="et-EE"/>
          <w14:ligatures w14:val="standardContextual"/>
        </w:rPr>
        <w:t xml:space="preserve"> kindla, jätkusuutliku, konkurentsivõimelise ja vastuvõetava hinnaga energiavarustuse. Selle üle, et elektri- ja gaasivõrkude planeerimisel, arendamisel ja investeerimisotsuste langetamisel jälgitaks seda põhimõtet</w:t>
      </w:r>
      <w:r>
        <w:rPr>
          <w:rFonts w:ascii="Times New Roman" w:eastAsia="Times New Roman" w:hAnsi="Times New Roman" w:cs="Times New Roman"/>
          <w:kern w:val="2"/>
          <w:sz w:val="24"/>
          <w:szCs w:val="24"/>
          <w:lang w:eastAsia="et-EE"/>
          <w14:ligatures w14:val="standardContextual"/>
        </w:rPr>
        <w:t>,</w:t>
      </w:r>
      <w:r w:rsidRPr="00D40ADB">
        <w:rPr>
          <w:rFonts w:ascii="Times New Roman" w:eastAsia="Times New Roman" w:hAnsi="Times New Roman" w:cs="Times New Roman"/>
          <w:kern w:val="2"/>
          <w:sz w:val="24"/>
          <w:szCs w:val="24"/>
          <w:lang w:eastAsia="et-EE"/>
          <w14:ligatures w14:val="standardContextual"/>
        </w:rPr>
        <w:t xml:space="preserve"> te</w:t>
      </w:r>
      <w:r>
        <w:rPr>
          <w:rFonts w:ascii="Times New Roman" w:eastAsia="Times New Roman" w:hAnsi="Times New Roman" w:cs="Times New Roman"/>
          <w:kern w:val="2"/>
          <w:sz w:val="24"/>
          <w:szCs w:val="24"/>
          <w:lang w:eastAsia="et-EE"/>
          <w14:ligatures w14:val="standardContextual"/>
        </w:rPr>
        <w:t>hakse</w:t>
      </w:r>
      <w:r w:rsidRPr="00D40ADB">
        <w:rPr>
          <w:rFonts w:ascii="Times New Roman" w:eastAsia="Times New Roman" w:hAnsi="Times New Roman" w:cs="Times New Roman"/>
          <w:kern w:val="2"/>
          <w:sz w:val="24"/>
          <w:szCs w:val="24"/>
          <w:lang w:eastAsia="et-EE"/>
          <w14:ligatures w14:val="standardContextual"/>
        </w:rPr>
        <w:t xml:space="preserve"> liikmesriikides järelevalvet. Eestis </w:t>
      </w:r>
      <w:r>
        <w:rPr>
          <w:rFonts w:ascii="Times New Roman" w:eastAsia="Times New Roman" w:hAnsi="Times New Roman" w:cs="Times New Roman"/>
          <w:kern w:val="2"/>
          <w:sz w:val="24"/>
          <w:szCs w:val="24"/>
          <w:lang w:eastAsia="et-EE"/>
          <w14:ligatures w14:val="standardContextual"/>
        </w:rPr>
        <w:t xml:space="preserve">teeb seda </w:t>
      </w:r>
      <w:r w:rsidRPr="00D40ADB">
        <w:rPr>
          <w:rFonts w:ascii="Times New Roman" w:eastAsia="Times New Roman" w:hAnsi="Times New Roman" w:cs="Times New Roman"/>
          <w:kern w:val="2"/>
          <w:sz w:val="24"/>
          <w:szCs w:val="24"/>
          <w:lang w:eastAsia="et-EE"/>
          <w14:ligatures w14:val="standardContextual"/>
        </w:rPr>
        <w:t>Konkurentsiamet.</w:t>
      </w:r>
    </w:p>
    <w:p w14:paraId="7E1E0925" w14:textId="77777777" w:rsidR="00B731C3" w:rsidRPr="00D40ADB" w:rsidRDefault="00B731C3" w:rsidP="00B731C3">
      <w:pPr>
        <w:spacing w:after="0" w:line="240" w:lineRule="auto"/>
        <w:rPr>
          <w:rFonts w:ascii="Times New Roman" w:eastAsia="Times New Roman" w:hAnsi="Times New Roman" w:cs="Times New Roman"/>
          <w:color w:val="000000"/>
          <w:kern w:val="2"/>
          <w:sz w:val="24"/>
          <w:szCs w:val="24"/>
          <w:lang w:eastAsia="et-EE"/>
          <w14:ligatures w14:val="standardContextual"/>
        </w:rPr>
      </w:pPr>
    </w:p>
    <w:p w14:paraId="6151D98F" w14:textId="77777777" w:rsidR="00B731C3" w:rsidRPr="00D40ADB" w:rsidRDefault="00B731C3" w:rsidP="00B731C3">
      <w:pPr>
        <w:spacing w:after="0" w:line="240" w:lineRule="auto"/>
        <w:ind w:left="10" w:right="60" w:hanging="10"/>
        <w:jc w:val="both"/>
        <w:rPr>
          <w:rFonts w:ascii="Times New Roman" w:eastAsia="Times New Roman" w:hAnsi="Times New Roman" w:cs="Times New Roman"/>
          <w:kern w:val="2"/>
          <w:sz w:val="24"/>
          <w:szCs w:val="24"/>
          <w:lang w:eastAsia="et-EE"/>
          <w14:ligatures w14:val="standardContextual"/>
        </w:rPr>
      </w:pPr>
      <w:r w:rsidRPr="57490200">
        <w:rPr>
          <w:rFonts w:ascii="Times New Roman" w:eastAsia="Times New Roman" w:hAnsi="Times New Roman" w:cs="Times New Roman"/>
          <w:b/>
          <w:bCs/>
          <w:color w:val="000000"/>
          <w:kern w:val="2"/>
          <w:sz w:val="24"/>
          <w:szCs w:val="24"/>
          <w:lang w:eastAsia="et-EE"/>
          <w14:ligatures w14:val="standardContextual"/>
        </w:rPr>
        <w:t xml:space="preserve">Punktiga 3 </w:t>
      </w:r>
      <w:r w:rsidRPr="00D40ADB">
        <w:rPr>
          <w:rFonts w:ascii="Times New Roman" w:eastAsia="Times New Roman" w:hAnsi="Times New Roman" w:cs="Times New Roman"/>
          <w:color w:val="000000"/>
          <w:kern w:val="2"/>
          <w:sz w:val="24"/>
          <w:szCs w:val="24"/>
          <w:lang w:eastAsia="et-EE"/>
          <w14:ligatures w14:val="standardContextual"/>
        </w:rPr>
        <w:t xml:space="preserve">täiendatakse </w:t>
      </w:r>
      <w:r w:rsidRPr="51248E01">
        <w:t>§</w:t>
      </w:r>
      <w:r w:rsidRPr="00D40ADB">
        <w:rPr>
          <w:rFonts w:ascii="Times New Roman" w:eastAsia="Times New Roman" w:hAnsi="Times New Roman" w:cs="Times New Roman"/>
          <w:color w:val="000000"/>
          <w:kern w:val="2"/>
          <w:sz w:val="24"/>
          <w:szCs w:val="24"/>
          <w:lang w:eastAsia="et-EE"/>
          <w14:ligatures w14:val="standardContextual"/>
        </w:rPr>
        <w:t xml:space="preserve"> 66 lõigetega 17 ja 18. </w:t>
      </w:r>
      <w:r w:rsidRPr="00D40ADB">
        <w:rPr>
          <w:rFonts w:ascii="Times New Roman" w:eastAsia="Times New Roman" w:hAnsi="Times New Roman" w:cs="Times New Roman"/>
          <w:kern w:val="2"/>
          <w:sz w:val="24"/>
          <w:szCs w:val="24"/>
          <w:lang w:eastAsia="et-EE"/>
          <w14:ligatures w14:val="standardContextual"/>
        </w:rPr>
        <w:t>Energiatõhususe esikohale seadmise</w:t>
      </w:r>
      <w:r>
        <w:rPr>
          <w:rFonts w:ascii="Times New Roman" w:eastAsia="Times New Roman" w:hAnsi="Times New Roman" w:cs="Times New Roman"/>
          <w:kern w:val="2"/>
          <w:sz w:val="24"/>
          <w:szCs w:val="24"/>
          <w:lang w:eastAsia="et-EE"/>
          <w14:ligatures w14:val="standardContextual"/>
        </w:rPr>
        <w:t>l</w:t>
      </w:r>
      <w:r w:rsidRPr="00D40ADB">
        <w:rPr>
          <w:rFonts w:ascii="Times New Roman" w:eastAsia="Times New Roman" w:hAnsi="Times New Roman" w:cs="Times New Roman"/>
          <w:kern w:val="2"/>
          <w:sz w:val="24"/>
          <w:szCs w:val="24"/>
          <w:lang w:eastAsia="et-EE"/>
          <w14:ligatures w14:val="standardContextual"/>
        </w:rPr>
        <w:t xml:space="preserve">ga on </w:t>
      </w:r>
      <w:r>
        <w:rPr>
          <w:rFonts w:ascii="Times New Roman" w:eastAsia="Times New Roman" w:hAnsi="Times New Roman" w:cs="Times New Roman"/>
          <w:kern w:val="2"/>
          <w:sz w:val="24"/>
          <w:szCs w:val="24"/>
          <w:lang w:eastAsia="et-EE"/>
          <w14:ligatures w14:val="standardContextual"/>
        </w:rPr>
        <w:t>eelistatud</w:t>
      </w:r>
      <w:r w:rsidRPr="00D40ADB">
        <w:rPr>
          <w:rFonts w:ascii="Times New Roman" w:eastAsia="Times New Roman" w:hAnsi="Times New Roman" w:cs="Times New Roman"/>
          <w:kern w:val="2"/>
          <w:sz w:val="24"/>
          <w:szCs w:val="24"/>
          <w:lang w:eastAsia="et-EE"/>
          <w14:ligatures w14:val="standardContextual"/>
        </w:rPr>
        <w:t xml:space="preserve"> tarbimise juhtimise meetmed </w:t>
      </w:r>
      <w:r>
        <w:rPr>
          <w:rFonts w:ascii="Times New Roman" w:eastAsia="Times New Roman" w:hAnsi="Times New Roman" w:cs="Times New Roman"/>
          <w:kern w:val="2"/>
          <w:sz w:val="24"/>
          <w:szCs w:val="24"/>
          <w:lang w:eastAsia="et-EE"/>
          <w14:ligatures w14:val="standardContextual"/>
        </w:rPr>
        <w:t>ning</w:t>
      </w:r>
      <w:r w:rsidRPr="00D40ADB">
        <w:rPr>
          <w:rFonts w:ascii="Times New Roman" w:eastAsia="Times New Roman" w:hAnsi="Times New Roman" w:cs="Times New Roman"/>
          <w:kern w:val="2"/>
          <w:sz w:val="24"/>
          <w:szCs w:val="24"/>
          <w:lang w:eastAsia="et-EE"/>
          <w14:ligatures w14:val="standardContextual"/>
        </w:rPr>
        <w:t xml:space="preserve"> </w:t>
      </w:r>
      <w:r>
        <w:rPr>
          <w:rFonts w:ascii="Times New Roman" w:eastAsia="Times New Roman" w:hAnsi="Times New Roman" w:cs="Times New Roman"/>
          <w:kern w:val="2"/>
          <w:sz w:val="24"/>
          <w:szCs w:val="24"/>
          <w:lang w:eastAsia="et-EE"/>
          <w14:ligatures w14:val="standardContextual"/>
        </w:rPr>
        <w:t xml:space="preserve">energiatõhusus siis, </w:t>
      </w:r>
      <w:r w:rsidRPr="00D40ADB">
        <w:rPr>
          <w:rFonts w:ascii="Times New Roman" w:eastAsia="Times New Roman" w:hAnsi="Times New Roman" w:cs="Times New Roman"/>
          <w:kern w:val="2"/>
          <w:sz w:val="24"/>
          <w:szCs w:val="24"/>
          <w:lang w:eastAsia="et-EE"/>
          <w14:ligatures w14:val="standardContextual"/>
        </w:rPr>
        <w:t xml:space="preserve">kui analüüside põhjal on </w:t>
      </w:r>
      <w:r>
        <w:rPr>
          <w:rFonts w:ascii="Times New Roman" w:eastAsia="Times New Roman" w:hAnsi="Times New Roman" w:cs="Times New Roman"/>
          <w:kern w:val="2"/>
          <w:sz w:val="24"/>
          <w:szCs w:val="24"/>
          <w:lang w:eastAsia="et-EE"/>
          <w14:ligatures w14:val="standardContextual"/>
        </w:rPr>
        <w:t xml:space="preserve">see </w:t>
      </w:r>
      <w:r w:rsidRPr="00D40ADB">
        <w:rPr>
          <w:rFonts w:ascii="Times New Roman" w:eastAsia="Times New Roman" w:hAnsi="Times New Roman" w:cs="Times New Roman"/>
          <w:kern w:val="2"/>
          <w:sz w:val="24"/>
          <w:szCs w:val="24"/>
          <w:lang w:eastAsia="et-EE"/>
          <w14:ligatures w14:val="standardContextual"/>
        </w:rPr>
        <w:t>ühiskondlikult kasulikum kui investeeringud (täiendavasse) energiataristusse.</w:t>
      </w:r>
    </w:p>
    <w:p w14:paraId="1C142C60" w14:textId="77777777" w:rsidR="00B731C3" w:rsidRPr="00D40ADB" w:rsidRDefault="00B731C3" w:rsidP="00B731C3">
      <w:pPr>
        <w:spacing w:after="0" w:line="240" w:lineRule="auto"/>
        <w:ind w:left="10" w:right="60" w:hanging="10"/>
        <w:jc w:val="both"/>
        <w:rPr>
          <w:rFonts w:ascii="Times New Roman" w:eastAsia="Times New Roman" w:hAnsi="Times New Roman" w:cs="Times New Roman"/>
          <w:kern w:val="2"/>
          <w:sz w:val="24"/>
          <w:szCs w:val="24"/>
          <w:lang w:eastAsia="et-EE"/>
          <w14:ligatures w14:val="standardContextual"/>
        </w:rPr>
      </w:pPr>
      <w:r w:rsidRPr="00D40ADB">
        <w:rPr>
          <w:rFonts w:ascii="Times New Roman" w:eastAsia="Times New Roman" w:hAnsi="Times New Roman" w:cs="Times New Roman"/>
          <w:kern w:val="2"/>
          <w:sz w:val="24"/>
          <w:szCs w:val="24"/>
          <w:lang w:eastAsia="et-EE"/>
          <w14:ligatures w14:val="standardContextual"/>
        </w:rPr>
        <w:t xml:space="preserve">Kui võrguettevõtjatel on vaja teha hankeid ja pakkumistega seotud otsuseid, tuleb rakendada energiatõhususe esikohale seadmise põhimõtet, et valida taristu optimeerimiseks kõige </w:t>
      </w:r>
      <w:r w:rsidRPr="00D40ADB">
        <w:rPr>
          <w:rFonts w:ascii="Times New Roman" w:eastAsia="Times New Roman" w:hAnsi="Times New Roman" w:cs="Times New Roman"/>
          <w:kern w:val="2"/>
          <w:sz w:val="24"/>
          <w:szCs w:val="24"/>
          <w:lang w:eastAsia="et-EE"/>
          <w14:ligatures w14:val="standardContextual"/>
        </w:rPr>
        <w:lastRenderedPageBreak/>
        <w:t>tõhusam alternatiiv. Võrkude ülekoormuse vältimiseks on vaja soodustada tarbimiskaja</w:t>
      </w:r>
      <w:r>
        <w:rPr>
          <w:rStyle w:val="Allmrkuseviide"/>
          <w:rFonts w:ascii="Times New Roman" w:eastAsia="Times New Roman" w:hAnsi="Times New Roman" w:cs="Times New Roman"/>
          <w:kern w:val="2"/>
          <w:sz w:val="24"/>
          <w:szCs w:val="24"/>
          <w:lang w:eastAsia="et-EE"/>
          <w14:ligatures w14:val="standardContextual"/>
        </w:rPr>
        <w:footnoteReference w:id="70"/>
      </w:r>
      <w:r w:rsidRPr="00D40ADB">
        <w:rPr>
          <w:rFonts w:ascii="Times New Roman" w:eastAsia="Times New Roman" w:hAnsi="Times New Roman" w:cs="Times New Roman"/>
          <w:kern w:val="2"/>
          <w:sz w:val="24"/>
          <w:szCs w:val="24"/>
          <w:lang w:eastAsia="et-EE"/>
          <w14:ligatures w14:val="standardContextual"/>
        </w:rPr>
        <w:t xml:space="preserve"> ja omatarbeks tootmist ning edendada lõpptarbimise paindlikkust</w:t>
      </w:r>
      <w:r>
        <w:rPr>
          <w:rFonts w:ascii="Times New Roman" w:eastAsia="Times New Roman" w:hAnsi="Times New Roman" w:cs="Times New Roman"/>
          <w:kern w:val="2"/>
          <w:sz w:val="24"/>
          <w:szCs w:val="24"/>
          <w:lang w:eastAsia="et-EE"/>
          <w14:ligatures w14:val="standardContextual"/>
        </w:rPr>
        <w:t xml:space="preserve"> (näiteks tööstuste ja ettevõtete puhul energiajuhtimissüsteemide kasutuselevõtmine, aga kodumajapidamiste puhul näiteks valik, millal elektriautot laadida ehk lühidalt tarbimise ajas nihutamine, tarbimise ajutine vähendamine või ka paindlikkusturul osalemine jms)</w:t>
      </w:r>
      <w:r w:rsidRPr="00D40ADB">
        <w:rPr>
          <w:rFonts w:ascii="Times New Roman" w:eastAsia="Times New Roman" w:hAnsi="Times New Roman" w:cs="Times New Roman"/>
          <w:kern w:val="2"/>
          <w:sz w:val="24"/>
          <w:szCs w:val="24"/>
          <w:lang w:eastAsia="et-EE"/>
          <w14:ligatures w14:val="standardContextual"/>
        </w:rPr>
        <w:t>.</w:t>
      </w:r>
    </w:p>
    <w:p w14:paraId="4CF72828" w14:textId="77777777" w:rsidR="00B731C3" w:rsidRPr="00D40ADB" w:rsidRDefault="00B731C3" w:rsidP="00B731C3">
      <w:pPr>
        <w:spacing w:after="0" w:line="240" w:lineRule="auto"/>
        <w:rPr>
          <w:rFonts w:ascii="Times New Roman" w:eastAsia="Times New Roman" w:hAnsi="Times New Roman" w:cs="Times New Roman"/>
          <w:color w:val="000000"/>
          <w:kern w:val="2"/>
          <w:sz w:val="24"/>
          <w:szCs w:val="24"/>
          <w:lang w:eastAsia="et-EE"/>
          <w14:ligatures w14:val="standardContextual"/>
        </w:rPr>
      </w:pPr>
    </w:p>
    <w:p w14:paraId="40CC52BC" w14:textId="77777777" w:rsidR="00B731C3" w:rsidRPr="00D40ADB" w:rsidRDefault="00B731C3" w:rsidP="00B731C3">
      <w:pPr>
        <w:spacing w:after="0" w:line="240" w:lineRule="auto"/>
        <w:ind w:left="-5" w:hanging="10"/>
        <w:jc w:val="both"/>
        <w:rPr>
          <w:rFonts w:ascii="Times New Roman" w:eastAsia="Times New Roman" w:hAnsi="Times New Roman" w:cs="Times New Roman"/>
          <w:kern w:val="2"/>
          <w:sz w:val="24"/>
          <w:szCs w:val="24"/>
          <w:lang w:eastAsia="et-EE"/>
          <w14:ligatures w14:val="standardContextual"/>
        </w:rPr>
      </w:pPr>
      <w:r w:rsidRPr="00D40ADB">
        <w:rPr>
          <w:rFonts w:ascii="Times New Roman" w:eastAsia="Times New Roman" w:hAnsi="Times New Roman" w:cs="Times New Roman"/>
          <w:b/>
          <w:color w:val="000000"/>
          <w:kern w:val="2"/>
          <w:sz w:val="24"/>
          <w:szCs w:val="24"/>
          <w:lang w:eastAsia="et-EE"/>
          <w14:ligatures w14:val="standardContextual"/>
        </w:rPr>
        <w:t xml:space="preserve">Punktiga </w:t>
      </w:r>
      <w:r>
        <w:rPr>
          <w:rFonts w:ascii="Times New Roman" w:eastAsia="Times New Roman" w:hAnsi="Times New Roman" w:cs="Times New Roman"/>
          <w:b/>
          <w:color w:val="000000"/>
          <w:kern w:val="2"/>
          <w:sz w:val="24"/>
          <w:szCs w:val="24"/>
          <w:lang w:eastAsia="et-EE"/>
          <w14:ligatures w14:val="standardContextual"/>
        </w:rPr>
        <w:t>4</w:t>
      </w:r>
      <w:r w:rsidRPr="00D40ADB">
        <w:rPr>
          <w:rFonts w:ascii="Times New Roman" w:eastAsia="Times New Roman" w:hAnsi="Times New Roman" w:cs="Times New Roman"/>
          <w:b/>
          <w:color w:val="000000"/>
          <w:kern w:val="2"/>
          <w:sz w:val="24"/>
          <w:szCs w:val="24"/>
          <w:lang w:eastAsia="et-EE"/>
          <w14:ligatures w14:val="standardContextual"/>
        </w:rPr>
        <w:t xml:space="preserve"> </w:t>
      </w:r>
      <w:r w:rsidRPr="00ED3ECE">
        <w:rPr>
          <w:rFonts w:ascii="Times New Roman" w:eastAsia="Times New Roman" w:hAnsi="Times New Roman" w:cs="Times New Roman"/>
          <w:bCs/>
          <w:color w:val="000000"/>
          <w:kern w:val="2"/>
          <w:sz w:val="24"/>
          <w:szCs w:val="24"/>
          <w:lang w:eastAsia="et-EE"/>
          <w14:ligatures w14:val="standardContextual"/>
        </w:rPr>
        <w:t>täiendatakse</w:t>
      </w:r>
      <w:r w:rsidRPr="00D40ADB">
        <w:rPr>
          <w:rFonts w:ascii="Times New Roman" w:eastAsia="Times New Roman" w:hAnsi="Times New Roman" w:cs="Times New Roman"/>
          <w:color w:val="000000"/>
          <w:kern w:val="2"/>
          <w:sz w:val="24"/>
          <w:szCs w:val="24"/>
          <w:lang w:eastAsia="et-EE"/>
          <w14:ligatures w14:val="standardContextual"/>
        </w:rPr>
        <w:t xml:space="preserve"> </w:t>
      </w:r>
      <w:r w:rsidRPr="51248E01">
        <w:t>§</w:t>
      </w:r>
      <w:r>
        <w:t xml:space="preserve"> </w:t>
      </w:r>
      <w:r w:rsidRPr="00D40ADB">
        <w:rPr>
          <w:rFonts w:ascii="Times New Roman" w:eastAsia="Times New Roman" w:hAnsi="Times New Roman" w:cs="Times New Roman"/>
          <w:color w:val="000000"/>
          <w:kern w:val="2"/>
          <w:sz w:val="24"/>
          <w:szCs w:val="24"/>
          <w:lang w:eastAsia="et-EE"/>
          <w14:ligatures w14:val="standardContextual"/>
        </w:rPr>
        <w:t>71 lõige</w:t>
      </w:r>
      <w:r>
        <w:rPr>
          <w:rFonts w:ascii="Times New Roman" w:eastAsia="Times New Roman" w:hAnsi="Times New Roman" w:cs="Times New Roman"/>
          <w:color w:val="000000"/>
          <w:kern w:val="2"/>
          <w:sz w:val="24"/>
          <w:szCs w:val="24"/>
          <w:lang w:eastAsia="et-EE"/>
          <w14:ligatures w14:val="standardContextual"/>
        </w:rPr>
        <w:t>t</w:t>
      </w:r>
      <w:r w:rsidRPr="00D40ADB">
        <w:rPr>
          <w:rFonts w:ascii="Times New Roman" w:eastAsia="Times New Roman" w:hAnsi="Times New Roman" w:cs="Times New Roman"/>
          <w:color w:val="000000"/>
          <w:kern w:val="2"/>
          <w:sz w:val="24"/>
          <w:szCs w:val="24"/>
          <w:lang w:eastAsia="et-EE"/>
          <w14:ligatures w14:val="standardContextual"/>
        </w:rPr>
        <w:t xml:space="preserve"> 4</w:t>
      </w:r>
      <w:r>
        <w:rPr>
          <w:rFonts w:ascii="Times New Roman" w:eastAsia="Times New Roman" w:hAnsi="Times New Roman" w:cs="Times New Roman"/>
          <w:color w:val="000000"/>
          <w:kern w:val="2"/>
          <w:sz w:val="24"/>
          <w:szCs w:val="24"/>
          <w:lang w:eastAsia="et-EE"/>
          <w14:ligatures w14:val="standardContextual"/>
        </w:rPr>
        <w:t>, sätestades</w:t>
      </w:r>
      <w:r w:rsidRPr="00D40ADB">
        <w:rPr>
          <w:rFonts w:ascii="Times New Roman" w:eastAsia="Times New Roman" w:hAnsi="Times New Roman" w:cs="Times New Roman"/>
          <w:kern w:val="2"/>
          <w:sz w:val="24"/>
          <w:szCs w:val="24"/>
          <w:lang w:eastAsia="et-EE"/>
          <w14:ligatures w14:val="standardContextual"/>
        </w:rPr>
        <w:t>, et arvesse võetakse ka uus direktiiv 2023/1791.</w:t>
      </w:r>
    </w:p>
    <w:p w14:paraId="798EC5B8" w14:textId="77777777" w:rsidR="00B731C3" w:rsidRPr="00D40ADB" w:rsidRDefault="00B731C3" w:rsidP="00B731C3">
      <w:pPr>
        <w:spacing w:after="0" w:line="240" w:lineRule="auto"/>
        <w:rPr>
          <w:rFonts w:ascii="Times New Roman" w:eastAsia="Times New Roman" w:hAnsi="Times New Roman" w:cs="Times New Roman"/>
          <w:color w:val="000000"/>
          <w:kern w:val="2"/>
          <w:sz w:val="24"/>
          <w:szCs w:val="24"/>
          <w:lang w:eastAsia="et-EE"/>
          <w14:ligatures w14:val="standardContextual"/>
        </w:rPr>
      </w:pPr>
      <w:r w:rsidRPr="00D40ADB">
        <w:rPr>
          <w:rFonts w:ascii="Times New Roman" w:eastAsia="Times New Roman" w:hAnsi="Times New Roman" w:cs="Times New Roman"/>
          <w:color w:val="000000"/>
          <w:kern w:val="2"/>
          <w:sz w:val="24"/>
          <w:szCs w:val="24"/>
          <w:lang w:eastAsia="et-EE"/>
          <w14:ligatures w14:val="standardContextual"/>
        </w:rPr>
        <w:t xml:space="preserve"> </w:t>
      </w:r>
    </w:p>
    <w:p w14:paraId="7544125C" w14:textId="77777777" w:rsidR="00B731C3" w:rsidRDefault="00B731C3" w:rsidP="00B731C3">
      <w:pPr>
        <w:spacing w:after="0" w:line="240" w:lineRule="auto"/>
        <w:ind w:left="10" w:right="60" w:hanging="10"/>
        <w:jc w:val="both"/>
        <w:rPr>
          <w:rFonts w:ascii="Times New Roman" w:eastAsia="Times New Roman" w:hAnsi="Times New Roman" w:cs="Times New Roman"/>
          <w:sz w:val="24"/>
          <w:szCs w:val="24"/>
          <w:lang w:eastAsia="et-EE"/>
        </w:rPr>
      </w:pPr>
      <w:r w:rsidRPr="57490200">
        <w:rPr>
          <w:rFonts w:ascii="Times New Roman" w:eastAsia="Times New Roman" w:hAnsi="Times New Roman" w:cs="Times New Roman"/>
          <w:b/>
          <w:bCs/>
          <w:color w:val="000000"/>
          <w:kern w:val="2"/>
          <w:sz w:val="24"/>
          <w:szCs w:val="24"/>
          <w:lang w:eastAsia="et-EE"/>
          <w14:ligatures w14:val="standardContextual"/>
        </w:rPr>
        <w:t xml:space="preserve">Punktiga 5 </w:t>
      </w:r>
      <w:r w:rsidRPr="00D40ADB">
        <w:rPr>
          <w:rFonts w:ascii="Times New Roman" w:eastAsia="Times New Roman" w:hAnsi="Times New Roman" w:cs="Times New Roman"/>
          <w:color w:val="000000"/>
          <w:kern w:val="2"/>
          <w:sz w:val="24"/>
          <w:szCs w:val="24"/>
          <w:lang w:eastAsia="et-EE"/>
          <w14:ligatures w14:val="standardContextual"/>
        </w:rPr>
        <w:t xml:space="preserve">täiendatakse </w:t>
      </w:r>
      <w:r w:rsidRPr="51248E01">
        <w:t>§</w:t>
      </w:r>
      <w:r>
        <w:t xml:space="preserve"> </w:t>
      </w:r>
      <w:r w:rsidRPr="00D40ADB">
        <w:rPr>
          <w:rFonts w:ascii="Times New Roman" w:eastAsia="Times New Roman" w:hAnsi="Times New Roman" w:cs="Times New Roman"/>
          <w:color w:val="000000"/>
          <w:kern w:val="2"/>
          <w:sz w:val="24"/>
          <w:szCs w:val="24"/>
          <w:lang w:eastAsia="et-EE"/>
          <w14:ligatures w14:val="standardContextual"/>
        </w:rPr>
        <w:t>93 lõige</w:t>
      </w:r>
      <w:r>
        <w:rPr>
          <w:rFonts w:ascii="Times New Roman" w:eastAsia="Times New Roman" w:hAnsi="Times New Roman" w:cs="Times New Roman"/>
          <w:color w:val="000000"/>
          <w:kern w:val="2"/>
          <w:sz w:val="24"/>
          <w:szCs w:val="24"/>
          <w:lang w:eastAsia="et-EE"/>
          <w14:ligatures w14:val="standardContextual"/>
        </w:rPr>
        <w:t>t</w:t>
      </w:r>
      <w:r w:rsidRPr="00D40ADB">
        <w:rPr>
          <w:rFonts w:ascii="Times New Roman" w:eastAsia="Times New Roman" w:hAnsi="Times New Roman" w:cs="Times New Roman"/>
          <w:color w:val="000000"/>
          <w:kern w:val="2"/>
          <w:sz w:val="24"/>
          <w:szCs w:val="24"/>
          <w:lang w:eastAsia="et-EE"/>
          <w14:ligatures w14:val="standardContextual"/>
        </w:rPr>
        <w:t xml:space="preserve"> 10 punktidega 9 ja 10. </w:t>
      </w:r>
      <w:r w:rsidRPr="00D40ADB">
        <w:rPr>
          <w:rFonts w:ascii="Times New Roman" w:eastAsia="Times New Roman" w:hAnsi="Times New Roman" w:cs="Times New Roman"/>
          <w:kern w:val="2"/>
          <w:sz w:val="24"/>
          <w:szCs w:val="24"/>
          <w:lang w:eastAsia="et-EE"/>
          <w14:ligatures w14:val="standardContextual"/>
        </w:rPr>
        <w:t>Energiatõhususe esikohale seadmise põhimõtte peamine eesmärk on kaaluda energiatõhususe ja tarbimise juhtimise meetmeid võrdsetel alustel alternatiivsete meetmetega</w:t>
      </w:r>
      <w:r>
        <w:rPr>
          <w:rFonts w:ascii="Times New Roman" w:eastAsia="Times New Roman" w:hAnsi="Times New Roman" w:cs="Times New Roman"/>
          <w:kern w:val="2"/>
          <w:sz w:val="24"/>
          <w:szCs w:val="24"/>
          <w:lang w:eastAsia="et-EE"/>
          <w14:ligatures w14:val="standardContextual"/>
        </w:rPr>
        <w:t xml:space="preserve">. Alternatiivsete meetmete all peetakse silmas </w:t>
      </w:r>
      <w:r w:rsidRPr="004A7609">
        <w:t xml:space="preserve"> </w:t>
      </w:r>
      <w:r w:rsidRPr="004A7609">
        <w:rPr>
          <w:rFonts w:ascii="Times New Roman" w:eastAsia="Times New Roman" w:hAnsi="Times New Roman" w:cs="Times New Roman"/>
          <w:kern w:val="2"/>
          <w:sz w:val="24"/>
          <w:szCs w:val="24"/>
          <w:lang w:eastAsia="et-EE"/>
          <w14:ligatures w14:val="standardContextual"/>
        </w:rPr>
        <w:t>nõudluse paindlikkus</w:t>
      </w:r>
      <w:r>
        <w:rPr>
          <w:rFonts w:ascii="Times New Roman" w:eastAsia="Times New Roman" w:hAnsi="Times New Roman" w:cs="Times New Roman"/>
          <w:kern w:val="2"/>
          <w:sz w:val="24"/>
          <w:szCs w:val="24"/>
          <w:lang w:eastAsia="et-EE"/>
          <w14:ligatures w14:val="standardContextual"/>
        </w:rPr>
        <w:t>t</w:t>
      </w:r>
      <w:r w:rsidRPr="004A7609">
        <w:rPr>
          <w:rFonts w:ascii="Times New Roman" w:eastAsia="Times New Roman" w:hAnsi="Times New Roman" w:cs="Times New Roman"/>
          <w:kern w:val="2"/>
          <w:sz w:val="24"/>
          <w:szCs w:val="24"/>
          <w:lang w:eastAsia="et-EE"/>
          <w14:ligatures w14:val="standardContextual"/>
        </w:rPr>
        <w:t>/tarbimiskaja</w:t>
      </w:r>
      <w:r>
        <w:rPr>
          <w:rFonts w:ascii="Times New Roman" w:eastAsia="Times New Roman" w:hAnsi="Times New Roman" w:cs="Times New Roman"/>
          <w:kern w:val="2"/>
          <w:sz w:val="24"/>
          <w:szCs w:val="24"/>
          <w:lang w:eastAsia="et-EE"/>
          <w14:ligatures w14:val="standardContextual"/>
        </w:rPr>
        <w:t xml:space="preserve">, näiteks </w:t>
      </w:r>
      <w:r w:rsidRPr="004A7609">
        <w:rPr>
          <w:rFonts w:ascii="Times New Roman" w:eastAsia="Times New Roman" w:hAnsi="Times New Roman" w:cs="Times New Roman"/>
          <w:kern w:val="2"/>
          <w:sz w:val="24"/>
          <w:szCs w:val="24"/>
          <w:lang w:eastAsia="et-EE"/>
          <w14:ligatures w14:val="standardContextual"/>
        </w:rPr>
        <w:t>elektrisõidukite elektritarbimise juhtimi</w:t>
      </w:r>
      <w:r>
        <w:rPr>
          <w:rFonts w:ascii="Times New Roman" w:eastAsia="Times New Roman" w:hAnsi="Times New Roman" w:cs="Times New Roman"/>
          <w:kern w:val="2"/>
          <w:sz w:val="24"/>
          <w:szCs w:val="24"/>
          <w:lang w:eastAsia="et-EE"/>
          <w14:ligatures w14:val="standardContextual"/>
        </w:rPr>
        <w:t>st</w:t>
      </w:r>
      <w:r w:rsidRPr="004A7609">
        <w:rPr>
          <w:rFonts w:ascii="Times New Roman" w:eastAsia="Times New Roman" w:hAnsi="Times New Roman" w:cs="Times New Roman"/>
          <w:kern w:val="2"/>
          <w:sz w:val="24"/>
          <w:szCs w:val="24"/>
          <w:lang w:eastAsia="et-EE"/>
          <w14:ligatures w14:val="standardContextual"/>
        </w:rPr>
        <w:t>, reageeriv</w:t>
      </w:r>
      <w:r>
        <w:rPr>
          <w:rFonts w:ascii="Times New Roman" w:eastAsia="Times New Roman" w:hAnsi="Times New Roman" w:cs="Times New Roman"/>
          <w:kern w:val="2"/>
          <w:sz w:val="24"/>
          <w:szCs w:val="24"/>
          <w:lang w:eastAsia="et-EE"/>
          <w14:ligatures w14:val="standardContextual"/>
        </w:rPr>
        <w:t>at</w:t>
      </w:r>
      <w:r w:rsidRPr="004A7609">
        <w:rPr>
          <w:rFonts w:ascii="Times New Roman" w:eastAsia="Times New Roman" w:hAnsi="Times New Roman" w:cs="Times New Roman"/>
          <w:kern w:val="2"/>
          <w:sz w:val="24"/>
          <w:szCs w:val="24"/>
          <w:lang w:eastAsia="et-EE"/>
          <w14:ligatures w14:val="standardContextual"/>
        </w:rPr>
        <w:t>/kahesuunali</w:t>
      </w:r>
      <w:r>
        <w:rPr>
          <w:rFonts w:ascii="Times New Roman" w:eastAsia="Times New Roman" w:hAnsi="Times New Roman" w:cs="Times New Roman"/>
          <w:kern w:val="2"/>
          <w:sz w:val="24"/>
          <w:szCs w:val="24"/>
          <w:lang w:eastAsia="et-EE"/>
          <w14:ligatures w14:val="standardContextual"/>
        </w:rPr>
        <w:t>st</w:t>
      </w:r>
      <w:r w:rsidRPr="004A7609">
        <w:rPr>
          <w:rFonts w:ascii="Times New Roman" w:eastAsia="Times New Roman" w:hAnsi="Times New Roman" w:cs="Times New Roman"/>
          <w:kern w:val="2"/>
          <w:sz w:val="24"/>
          <w:szCs w:val="24"/>
          <w:lang w:eastAsia="et-EE"/>
          <w14:ligatures w14:val="standardContextual"/>
        </w:rPr>
        <w:t xml:space="preserve"> laadimi</w:t>
      </w:r>
      <w:r>
        <w:rPr>
          <w:rFonts w:ascii="Times New Roman" w:eastAsia="Times New Roman" w:hAnsi="Times New Roman" w:cs="Times New Roman"/>
          <w:kern w:val="2"/>
          <w:sz w:val="24"/>
          <w:szCs w:val="24"/>
          <w:lang w:eastAsia="et-EE"/>
          <w14:ligatures w14:val="standardContextual"/>
        </w:rPr>
        <w:t>st</w:t>
      </w:r>
      <w:r w:rsidRPr="004A7609">
        <w:rPr>
          <w:rFonts w:ascii="Times New Roman" w:eastAsia="Times New Roman" w:hAnsi="Times New Roman" w:cs="Times New Roman"/>
          <w:kern w:val="2"/>
          <w:sz w:val="24"/>
          <w:szCs w:val="24"/>
          <w:lang w:eastAsia="et-EE"/>
          <w14:ligatures w14:val="standardContextual"/>
        </w:rPr>
        <w:t>, paindliku töörežiimiga soojuspum</w:t>
      </w:r>
      <w:r>
        <w:rPr>
          <w:rFonts w:ascii="Times New Roman" w:eastAsia="Times New Roman" w:hAnsi="Times New Roman" w:cs="Times New Roman"/>
          <w:kern w:val="2"/>
          <w:sz w:val="24"/>
          <w:szCs w:val="24"/>
          <w:lang w:eastAsia="et-EE"/>
          <w14:ligatures w14:val="standardContextual"/>
        </w:rPr>
        <w:t>pasid, nutikaid termostaate, reaalajas reguleeritavat koduautomaatikat jne</w:t>
      </w:r>
      <w:r w:rsidRPr="004A7609">
        <w:rPr>
          <w:rFonts w:ascii="Times New Roman" w:eastAsia="Times New Roman" w:hAnsi="Times New Roman" w:cs="Times New Roman"/>
          <w:kern w:val="2"/>
          <w:sz w:val="24"/>
          <w:szCs w:val="24"/>
          <w:lang w:eastAsia="et-EE"/>
          <w14:ligatures w14:val="standardContextual"/>
        </w:rPr>
        <w:t>,</w:t>
      </w:r>
      <w:r>
        <w:rPr>
          <w:rFonts w:ascii="Times New Roman" w:eastAsia="Times New Roman" w:hAnsi="Times New Roman" w:cs="Times New Roman"/>
          <w:kern w:val="2"/>
          <w:sz w:val="24"/>
          <w:szCs w:val="24"/>
          <w:lang w:eastAsia="et-EE"/>
          <w14:ligatures w14:val="standardContextual"/>
        </w:rPr>
        <w:t xml:space="preserve"> kuid ka</w:t>
      </w:r>
      <w:r w:rsidRPr="004A7609">
        <w:rPr>
          <w:rFonts w:ascii="Times New Roman" w:eastAsia="Times New Roman" w:hAnsi="Times New Roman" w:cs="Times New Roman"/>
          <w:kern w:val="2"/>
          <w:sz w:val="24"/>
          <w:szCs w:val="24"/>
          <w:lang w:eastAsia="et-EE"/>
          <w14:ligatures w14:val="standardContextual"/>
        </w:rPr>
        <w:t xml:space="preserve"> kasutusajast sõltuva</w:t>
      </w:r>
      <w:r>
        <w:rPr>
          <w:rFonts w:ascii="Times New Roman" w:eastAsia="Times New Roman" w:hAnsi="Times New Roman" w:cs="Times New Roman"/>
          <w:kern w:val="2"/>
          <w:sz w:val="24"/>
          <w:szCs w:val="24"/>
          <w:lang w:eastAsia="et-EE"/>
          <w14:ligatures w14:val="standardContextual"/>
        </w:rPr>
        <w:t>i</w:t>
      </w:r>
      <w:r w:rsidRPr="004A7609">
        <w:rPr>
          <w:rFonts w:ascii="Times New Roman" w:eastAsia="Times New Roman" w:hAnsi="Times New Roman" w:cs="Times New Roman"/>
          <w:kern w:val="2"/>
          <w:sz w:val="24"/>
          <w:szCs w:val="24"/>
          <w:lang w:eastAsia="et-EE"/>
          <w14:ligatures w14:val="standardContextual"/>
        </w:rPr>
        <w:t>d energiatariif</w:t>
      </w:r>
      <w:r>
        <w:rPr>
          <w:rFonts w:ascii="Times New Roman" w:eastAsia="Times New Roman" w:hAnsi="Times New Roman" w:cs="Times New Roman"/>
          <w:kern w:val="2"/>
          <w:sz w:val="24"/>
          <w:szCs w:val="24"/>
          <w:lang w:eastAsia="et-EE"/>
          <w14:ligatures w14:val="standardContextual"/>
        </w:rPr>
        <w:t>e</w:t>
      </w:r>
      <w:r w:rsidRPr="004A7609">
        <w:rPr>
          <w:rFonts w:ascii="Times New Roman" w:eastAsia="Times New Roman" w:hAnsi="Times New Roman" w:cs="Times New Roman"/>
          <w:kern w:val="2"/>
          <w:sz w:val="24"/>
          <w:szCs w:val="24"/>
          <w:lang w:eastAsia="et-EE"/>
          <w14:ligatures w14:val="standardContextual"/>
        </w:rPr>
        <w:t xml:space="preserve"> ja tarbimiskaja koondamise teenuse</w:t>
      </w:r>
      <w:r>
        <w:rPr>
          <w:rFonts w:ascii="Times New Roman" w:eastAsia="Times New Roman" w:hAnsi="Times New Roman" w:cs="Times New Roman"/>
          <w:kern w:val="2"/>
          <w:sz w:val="24"/>
          <w:szCs w:val="24"/>
          <w:lang w:eastAsia="et-EE"/>
          <w14:ligatures w14:val="standardContextual"/>
        </w:rPr>
        <w:t>id</w:t>
      </w:r>
      <w:r w:rsidRPr="00D40ADB">
        <w:rPr>
          <w:rFonts w:ascii="Times New Roman" w:eastAsia="Times New Roman" w:hAnsi="Times New Roman" w:cs="Times New Roman"/>
          <w:kern w:val="2"/>
          <w:sz w:val="24"/>
          <w:szCs w:val="24"/>
          <w:lang w:eastAsia="et-EE"/>
          <w14:ligatures w14:val="standardContextual"/>
        </w:rPr>
        <w:t xml:space="preserve">, et reageerida konkreetsele vajadusele või eesmärgile. Eelkõige tuleb põhimõtet rakendada olukordades, kus </w:t>
      </w:r>
      <w:r>
        <w:rPr>
          <w:rFonts w:ascii="Times New Roman" w:eastAsia="Times New Roman" w:hAnsi="Times New Roman" w:cs="Times New Roman"/>
          <w:kern w:val="2"/>
          <w:sz w:val="24"/>
          <w:szCs w:val="24"/>
          <w:lang w:eastAsia="et-EE"/>
          <w14:ligatures w14:val="standardContextual"/>
        </w:rPr>
        <w:t xml:space="preserve">on </w:t>
      </w:r>
      <w:r w:rsidRPr="00D40ADB">
        <w:rPr>
          <w:rFonts w:ascii="Times New Roman" w:eastAsia="Times New Roman" w:hAnsi="Times New Roman" w:cs="Times New Roman"/>
          <w:kern w:val="2"/>
          <w:sz w:val="24"/>
          <w:szCs w:val="24"/>
          <w:lang w:eastAsia="et-EE"/>
          <w14:ligatures w14:val="standardContextual"/>
        </w:rPr>
        <w:t xml:space="preserve">tegemist </w:t>
      </w:r>
      <w:r>
        <w:rPr>
          <w:rFonts w:ascii="Times New Roman" w:eastAsia="Times New Roman" w:hAnsi="Times New Roman" w:cs="Times New Roman"/>
          <w:kern w:val="2"/>
          <w:sz w:val="24"/>
          <w:szCs w:val="24"/>
          <w:lang w:eastAsia="et-EE"/>
          <w14:ligatures w14:val="standardContextual"/>
        </w:rPr>
        <w:t xml:space="preserve">alternatiiviga </w:t>
      </w:r>
      <w:r w:rsidRPr="00D40ADB">
        <w:rPr>
          <w:rFonts w:ascii="Times New Roman" w:eastAsia="Times New Roman" w:hAnsi="Times New Roman" w:cs="Times New Roman"/>
          <w:kern w:val="2"/>
          <w:sz w:val="24"/>
          <w:szCs w:val="24"/>
          <w:lang w:eastAsia="et-EE"/>
          <w14:ligatures w14:val="standardContextual"/>
        </w:rPr>
        <w:t>investeeringute</w:t>
      </w:r>
      <w:r>
        <w:rPr>
          <w:rFonts w:ascii="Times New Roman" w:eastAsia="Times New Roman" w:hAnsi="Times New Roman" w:cs="Times New Roman"/>
          <w:kern w:val="2"/>
          <w:sz w:val="24"/>
          <w:szCs w:val="24"/>
          <w:lang w:eastAsia="et-EE"/>
          <w14:ligatures w14:val="standardContextual"/>
        </w:rPr>
        <w:t>le</w:t>
      </w:r>
      <w:r w:rsidRPr="00D40ADB">
        <w:rPr>
          <w:rFonts w:ascii="Times New Roman" w:eastAsia="Times New Roman" w:hAnsi="Times New Roman" w:cs="Times New Roman"/>
          <w:kern w:val="2"/>
          <w:sz w:val="24"/>
          <w:szCs w:val="24"/>
          <w:lang w:eastAsia="et-EE"/>
          <w14:ligatures w14:val="standardContextual"/>
        </w:rPr>
        <w:t xml:space="preserve"> energiavarustusse ja taristusse. Selle põhimõtte abil saab kindlaks teha ja rakendada</w:t>
      </w:r>
      <w:r>
        <w:rPr>
          <w:rFonts w:ascii="Times New Roman" w:eastAsia="Times New Roman" w:hAnsi="Times New Roman" w:cs="Times New Roman"/>
          <w:kern w:val="2"/>
          <w:sz w:val="24"/>
          <w:szCs w:val="24"/>
          <w:lang w:eastAsia="et-EE"/>
          <w14:ligatures w14:val="standardContextual"/>
        </w:rPr>
        <w:t xml:space="preserve"> kõige</w:t>
      </w:r>
      <w:r w:rsidRPr="00D40ADB">
        <w:rPr>
          <w:rFonts w:ascii="Times New Roman" w:eastAsia="Times New Roman" w:hAnsi="Times New Roman" w:cs="Times New Roman"/>
          <w:kern w:val="2"/>
          <w:sz w:val="24"/>
          <w:szCs w:val="24"/>
          <w:lang w:eastAsia="et-EE"/>
          <w14:ligatures w14:val="standardContextual"/>
        </w:rPr>
        <w:t xml:space="preserve"> kulutõhusa</w:t>
      </w:r>
      <w:r>
        <w:rPr>
          <w:rFonts w:ascii="Times New Roman" w:eastAsia="Times New Roman" w:hAnsi="Times New Roman" w:cs="Times New Roman"/>
          <w:kern w:val="2"/>
          <w:sz w:val="24"/>
          <w:szCs w:val="24"/>
          <w:lang w:eastAsia="et-EE"/>
          <w14:ligatures w14:val="standardContextual"/>
        </w:rPr>
        <w:t>ma</w:t>
      </w:r>
      <w:r w:rsidRPr="00D40ADB">
        <w:rPr>
          <w:rFonts w:ascii="Times New Roman" w:eastAsia="Times New Roman" w:hAnsi="Times New Roman" w:cs="Times New Roman"/>
          <w:kern w:val="2"/>
          <w:sz w:val="24"/>
          <w:szCs w:val="24"/>
          <w:lang w:eastAsia="et-EE"/>
          <w14:ligatures w14:val="standardContextual"/>
        </w:rPr>
        <w:t>id lahendusi ning selle kohaldamine peaks toetama</w:t>
      </w:r>
      <w:r>
        <w:rPr>
          <w:rFonts w:ascii="Times New Roman" w:eastAsia="Times New Roman" w:hAnsi="Times New Roman" w:cs="Times New Roman"/>
          <w:kern w:val="2"/>
          <w:sz w:val="24"/>
          <w:szCs w:val="24"/>
          <w:lang w:eastAsia="et-EE"/>
          <w14:ligatures w14:val="standardContextual"/>
        </w:rPr>
        <w:t xml:space="preserve"> neid</w:t>
      </w:r>
      <w:r w:rsidRPr="00D40ADB">
        <w:rPr>
          <w:rFonts w:ascii="Times New Roman" w:eastAsia="Times New Roman" w:hAnsi="Times New Roman" w:cs="Times New Roman"/>
          <w:kern w:val="2"/>
          <w:sz w:val="24"/>
          <w:szCs w:val="24"/>
          <w:lang w:eastAsia="et-EE"/>
          <w14:ligatures w14:val="standardContextual"/>
        </w:rPr>
        <w:t xml:space="preserve"> investeeringuid, mis aitavad kaasa keskkonnaeesmärkide saavutamisele. Oluline on vastata keskkonnasäästlike investeeringute kriteeriumitele energia väärtusahela kõigis etappides</w:t>
      </w:r>
      <w:r>
        <w:rPr>
          <w:rFonts w:ascii="Times New Roman" w:eastAsia="Times New Roman" w:hAnsi="Times New Roman" w:cs="Times New Roman"/>
          <w:kern w:val="2"/>
          <w:sz w:val="24"/>
          <w:szCs w:val="24"/>
          <w:lang w:eastAsia="et-EE"/>
          <w14:ligatures w14:val="standardContextual"/>
        </w:rPr>
        <w:t>,</w:t>
      </w:r>
      <w:r w:rsidRPr="00DA05B2">
        <w:t xml:space="preserve"> </w:t>
      </w:r>
      <w:r w:rsidRPr="00DA05B2">
        <w:rPr>
          <w:rFonts w:ascii="Times New Roman" w:eastAsia="Times New Roman" w:hAnsi="Times New Roman" w:cs="Times New Roman"/>
          <w:kern w:val="2"/>
          <w:sz w:val="24"/>
          <w:szCs w:val="24"/>
          <w:lang w:eastAsia="et-EE"/>
          <w14:ligatures w14:val="standardContextual"/>
        </w:rPr>
        <w:t>alates energia tootmisest ja selle edastamisest kuni kasutamiseni välja</w:t>
      </w:r>
      <w:r w:rsidRPr="00D40ADB">
        <w:rPr>
          <w:rFonts w:ascii="Times New Roman" w:eastAsia="Times New Roman" w:hAnsi="Times New Roman" w:cs="Times New Roman"/>
          <w:kern w:val="2"/>
          <w:sz w:val="24"/>
          <w:szCs w:val="24"/>
          <w:lang w:eastAsia="et-EE"/>
          <w14:ligatures w14:val="standardContextual"/>
        </w:rPr>
        <w:t>.</w:t>
      </w:r>
      <w:r>
        <w:rPr>
          <w:rFonts w:ascii="Times New Roman" w:eastAsia="Times New Roman" w:hAnsi="Times New Roman" w:cs="Times New Roman"/>
          <w:kern w:val="2"/>
          <w:sz w:val="24"/>
          <w:szCs w:val="24"/>
          <w:lang w:eastAsia="et-EE"/>
          <w14:ligatures w14:val="standardContextual"/>
        </w:rPr>
        <w:t xml:space="preserve"> Ehk kui on võimalik lükata edasi suuri investeeringuid täiendava energiataristu rajamisse või uue elektrijaama ehitamisse ning selle asemel võtta kasutusele nutikaid digilahendusi, mis võimaldavad tarbimise juhtimise ja paindlikkuse kaudu katta energiatarbimise, tuleks eelistada ühiskonnale ja keskkonnale soodsamaid lahendusi.</w:t>
      </w:r>
    </w:p>
    <w:p w14:paraId="4F8150A0" w14:textId="77777777" w:rsidR="00B731C3" w:rsidRDefault="00B731C3" w:rsidP="00B731C3">
      <w:pPr>
        <w:spacing w:after="0" w:line="240" w:lineRule="auto"/>
        <w:ind w:left="10" w:right="60" w:hanging="10"/>
        <w:jc w:val="both"/>
        <w:rPr>
          <w:rFonts w:ascii="Times New Roman" w:eastAsia="Times New Roman" w:hAnsi="Times New Roman" w:cs="Times New Roman"/>
          <w:kern w:val="2"/>
          <w:sz w:val="24"/>
          <w:szCs w:val="24"/>
          <w:lang w:eastAsia="et-EE"/>
          <w14:ligatures w14:val="standardContextual"/>
        </w:rPr>
      </w:pPr>
    </w:p>
    <w:p w14:paraId="2EFEF80C" w14:textId="77777777" w:rsidR="00B731C3" w:rsidRPr="00932FE9" w:rsidRDefault="00B731C3" w:rsidP="00B731C3">
      <w:pPr>
        <w:spacing w:after="0" w:line="240" w:lineRule="auto"/>
        <w:ind w:left="10" w:right="60" w:hanging="10"/>
        <w:jc w:val="both"/>
        <w:rPr>
          <w:rFonts w:ascii="Times New Roman" w:eastAsia="Times New Roman" w:hAnsi="Times New Roman" w:cs="Times New Roman"/>
          <w:b/>
          <w:bCs/>
          <w:kern w:val="2"/>
          <w:sz w:val="24"/>
          <w:szCs w:val="24"/>
          <w:lang w:eastAsia="et-EE"/>
          <w14:ligatures w14:val="standardContextual"/>
        </w:rPr>
      </w:pPr>
    </w:p>
    <w:p w14:paraId="067EA9BF" w14:textId="77777777" w:rsidR="00B731C3" w:rsidRDefault="00B731C3" w:rsidP="00B731C3">
      <w:pPr>
        <w:spacing w:after="0" w:line="240" w:lineRule="auto"/>
        <w:jc w:val="both"/>
        <w:rPr>
          <w:rFonts w:ascii="Times New Roman" w:eastAsia="Times New Roman" w:hAnsi="Times New Roman" w:cs="Times New Roman"/>
          <w:sz w:val="24"/>
          <w:szCs w:val="24"/>
        </w:rPr>
      </w:pPr>
      <w:r w:rsidRPr="0D039D05">
        <w:rPr>
          <w:rFonts w:eastAsia="Times New Roman"/>
          <w:b/>
          <w:sz w:val="24"/>
          <w:szCs w:val="24"/>
          <w:lang w:eastAsia="et-EE"/>
        </w:rPr>
        <w:t>Normitehniline märkus</w:t>
      </w:r>
    </w:p>
    <w:p w14:paraId="4442BF81" w14:textId="77777777" w:rsidR="00B731C3" w:rsidRPr="00932FE9" w:rsidRDefault="00B731C3" w:rsidP="00B731C3">
      <w:pPr>
        <w:spacing w:after="0" w:line="240" w:lineRule="auto"/>
        <w:jc w:val="both"/>
        <w:rPr>
          <w:rFonts w:eastAsiaTheme="minorEastAsia"/>
          <w:color w:val="333333"/>
          <w:sz w:val="24"/>
          <w:szCs w:val="24"/>
        </w:rPr>
      </w:pPr>
      <w:r w:rsidRPr="0D039D05">
        <w:rPr>
          <w:rFonts w:eastAsiaTheme="minorEastAsia"/>
          <w:color w:val="333333"/>
          <w:sz w:val="24"/>
          <w:szCs w:val="24"/>
        </w:rPr>
        <w:t>Lisatakse andmed ülevõetavale direktiivile 2023/1791.</w:t>
      </w:r>
    </w:p>
    <w:p w14:paraId="4FB99DC4" w14:textId="77777777" w:rsidR="00B731C3" w:rsidRDefault="00B731C3" w:rsidP="00B731C3">
      <w:pPr>
        <w:spacing w:after="0" w:line="240" w:lineRule="auto"/>
        <w:jc w:val="both"/>
        <w:rPr>
          <w:rFonts w:eastAsiaTheme="minorEastAsia"/>
          <w:color w:val="333333"/>
          <w:sz w:val="24"/>
          <w:szCs w:val="24"/>
        </w:rPr>
      </w:pPr>
    </w:p>
    <w:p w14:paraId="1EE6433E" w14:textId="77777777" w:rsidR="00B731C3" w:rsidRPr="00932FE9" w:rsidRDefault="00B731C3" w:rsidP="00B731C3">
      <w:pPr>
        <w:spacing w:after="0" w:line="240" w:lineRule="auto"/>
        <w:jc w:val="both"/>
        <w:rPr>
          <w:rFonts w:eastAsiaTheme="minorEastAsia"/>
          <w:color w:val="333333"/>
          <w:sz w:val="24"/>
          <w:szCs w:val="24"/>
        </w:rPr>
      </w:pPr>
    </w:p>
    <w:p w14:paraId="02AE6F9A" w14:textId="77777777" w:rsidR="00B731C3" w:rsidRDefault="00B731C3" w:rsidP="00B731C3">
      <w:pPr>
        <w:pStyle w:val="muudetavtekst"/>
        <w:rPr>
          <w:rFonts w:asciiTheme="minorHAnsi" w:hAnsiTheme="minorHAnsi" w:cstheme="minorHAnsi"/>
          <w:b/>
          <w:bCs/>
        </w:rPr>
      </w:pPr>
      <w:r w:rsidRPr="00E836C4">
        <w:rPr>
          <w:rFonts w:asciiTheme="minorHAnsi" w:hAnsiTheme="minorHAnsi" w:cstheme="minorHAnsi"/>
          <w:b/>
          <w:bCs/>
        </w:rPr>
        <w:t>Eelnõu §-ga 3 muudetakse maagaasiseadust</w:t>
      </w:r>
    </w:p>
    <w:p w14:paraId="78FC24C2" w14:textId="77777777" w:rsidR="00B731C3" w:rsidRPr="00597350" w:rsidRDefault="00B731C3" w:rsidP="00B731C3">
      <w:pPr>
        <w:pStyle w:val="muudetavtekst"/>
        <w:rPr>
          <w:rFonts w:asciiTheme="minorHAnsi" w:hAnsiTheme="minorHAnsi" w:cstheme="minorHAnsi"/>
          <w:b/>
          <w:bCs/>
        </w:rPr>
      </w:pPr>
    </w:p>
    <w:p w14:paraId="7C1B210F" w14:textId="77777777" w:rsidR="00B731C3" w:rsidRDefault="00B731C3" w:rsidP="00B731C3">
      <w:pPr>
        <w:pStyle w:val="muudetavtekst"/>
        <w:rPr>
          <w:rFonts w:asciiTheme="minorHAnsi" w:hAnsiTheme="minorHAnsi" w:cstheme="minorHAnsi"/>
          <w:b/>
          <w:bCs/>
        </w:rPr>
      </w:pPr>
      <w:r w:rsidRPr="00883D56">
        <w:rPr>
          <w:rFonts w:asciiTheme="minorHAnsi" w:hAnsiTheme="minorHAnsi" w:cstheme="minorHAnsi"/>
          <w:b/>
          <w:bCs/>
        </w:rPr>
        <w:t xml:space="preserve">Punktiga 1 </w:t>
      </w:r>
      <w:r w:rsidRPr="00883D56">
        <w:rPr>
          <w:rFonts w:asciiTheme="minorHAnsi" w:hAnsiTheme="minorHAnsi" w:cstheme="minorHAnsi"/>
        </w:rPr>
        <w:t xml:space="preserve">täiendatakse </w:t>
      </w:r>
      <w:r w:rsidRPr="00883D56">
        <w:rPr>
          <w:rFonts w:asciiTheme="minorHAnsi" w:hAnsiTheme="minorHAnsi" w:cstheme="minorBidi"/>
        </w:rPr>
        <w:t xml:space="preserve">§ </w:t>
      </w:r>
      <w:r w:rsidRPr="00883D56">
        <w:rPr>
          <w:rFonts w:asciiTheme="minorHAnsi" w:hAnsiTheme="minorHAnsi" w:cstheme="minorHAnsi"/>
        </w:rPr>
        <w:t>21² lõiget 2. Tuues</w:t>
      </w:r>
      <w:r>
        <w:rPr>
          <w:rFonts w:asciiTheme="minorHAnsi" w:hAnsiTheme="minorHAnsi" w:cstheme="minorHAnsi"/>
        </w:rPr>
        <w:t xml:space="preserve"> sisse viite EnKS § 7 lg, mida muudetakse ka käesoleva eelnõuga (vt. EnKS-i muutmine punkt 33). Eesmärk on ära sidustada energiatõhususe meetmed, kui tehakse investeeringuid gaasivõrkudesse. </w:t>
      </w:r>
    </w:p>
    <w:p w14:paraId="37D033A9" w14:textId="77777777" w:rsidR="00B731C3" w:rsidRPr="00597350" w:rsidRDefault="00B731C3" w:rsidP="00B731C3">
      <w:pPr>
        <w:pStyle w:val="muudetavtekst"/>
        <w:rPr>
          <w:rFonts w:asciiTheme="minorHAnsi" w:hAnsiTheme="minorHAnsi" w:cstheme="minorHAnsi"/>
          <w:b/>
          <w:bCs/>
        </w:rPr>
      </w:pPr>
    </w:p>
    <w:p w14:paraId="495AB3EF" w14:textId="77777777" w:rsidR="00B731C3" w:rsidRPr="004C33ED" w:rsidRDefault="00B731C3" w:rsidP="00B731C3">
      <w:pPr>
        <w:pStyle w:val="muudetavtekst"/>
        <w:rPr>
          <w:rFonts w:asciiTheme="minorHAnsi" w:hAnsiTheme="minorHAnsi" w:cstheme="minorBidi"/>
        </w:rPr>
      </w:pPr>
      <w:r w:rsidRPr="57490200">
        <w:rPr>
          <w:rFonts w:asciiTheme="minorHAnsi" w:hAnsiTheme="minorHAnsi" w:cstheme="minorBidi"/>
          <w:b/>
          <w:bCs/>
        </w:rPr>
        <w:t xml:space="preserve">Punktiga 2 </w:t>
      </w:r>
      <w:r w:rsidRPr="00E84870">
        <w:rPr>
          <w:rFonts w:asciiTheme="minorHAnsi" w:hAnsiTheme="minorHAnsi" w:cstheme="minorBidi"/>
        </w:rPr>
        <w:t xml:space="preserve">täiendatakse </w:t>
      </w:r>
      <w:r w:rsidRPr="51248E01">
        <w:rPr>
          <w:rFonts w:asciiTheme="minorHAnsi" w:hAnsiTheme="minorHAnsi" w:cstheme="minorBidi"/>
        </w:rPr>
        <w:t>§</w:t>
      </w:r>
      <w:r w:rsidRPr="00E84870">
        <w:rPr>
          <w:rFonts w:asciiTheme="minorHAnsi" w:hAnsiTheme="minorHAnsi" w:cstheme="minorBidi"/>
        </w:rPr>
        <w:t xml:space="preserve"> 21² lõige</w:t>
      </w:r>
      <w:r>
        <w:rPr>
          <w:rFonts w:asciiTheme="minorHAnsi" w:hAnsiTheme="minorHAnsi" w:cstheme="minorBidi"/>
        </w:rPr>
        <w:t>t</w:t>
      </w:r>
      <w:r w:rsidRPr="00E84870">
        <w:rPr>
          <w:rFonts w:asciiTheme="minorHAnsi" w:hAnsiTheme="minorHAnsi" w:cstheme="minorBidi"/>
        </w:rPr>
        <w:t xml:space="preserve"> 6.</w:t>
      </w:r>
      <w:r w:rsidRPr="57490200">
        <w:rPr>
          <w:rFonts w:asciiTheme="minorHAnsi" w:hAnsiTheme="minorHAnsi" w:cstheme="minorBidi"/>
          <w:b/>
          <w:bCs/>
        </w:rPr>
        <w:t xml:space="preserve"> </w:t>
      </w:r>
      <w:r w:rsidRPr="57490200">
        <w:rPr>
          <w:rFonts w:asciiTheme="minorHAnsi" w:hAnsiTheme="minorHAnsi" w:cstheme="minorBidi"/>
        </w:rPr>
        <w:t>Energiatõhusus on üks energialiidu tugisambaid, et Euroopa Liit saavutaks oma puhta energia ja kliimaga seotud eesmärgid</w:t>
      </w:r>
      <w:r>
        <w:rPr>
          <w:rFonts w:asciiTheme="minorHAnsi" w:hAnsiTheme="minorHAnsi" w:cstheme="minorBidi"/>
        </w:rPr>
        <w:t>,</w:t>
      </w:r>
      <w:r w:rsidRPr="57490200">
        <w:rPr>
          <w:rFonts w:asciiTheme="minorHAnsi" w:hAnsiTheme="minorHAnsi" w:cstheme="minorBidi"/>
        </w:rPr>
        <w:t xml:space="preserve"> sh energiatõhususe m</w:t>
      </w:r>
      <w:r>
        <w:rPr>
          <w:rFonts w:asciiTheme="minorHAnsi" w:hAnsiTheme="minorHAnsi" w:cstheme="minorBidi"/>
        </w:rPr>
        <w:t>i</w:t>
      </w:r>
      <w:r w:rsidRPr="57490200">
        <w:rPr>
          <w:rFonts w:asciiTheme="minorHAnsi" w:hAnsiTheme="minorHAnsi" w:cstheme="minorBidi"/>
        </w:rPr>
        <w:t>inim</w:t>
      </w:r>
      <w:r>
        <w:rPr>
          <w:rFonts w:asciiTheme="minorHAnsi" w:hAnsiTheme="minorHAnsi" w:cstheme="minorBidi"/>
        </w:rPr>
        <w:t>umeesmärgi</w:t>
      </w:r>
      <w:r w:rsidRPr="57490200">
        <w:rPr>
          <w:rFonts w:asciiTheme="minorHAnsi" w:hAnsiTheme="minorHAnsi" w:cstheme="minorBidi"/>
        </w:rPr>
        <w:t xml:space="preserve"> 32,5% aastaks 2030</w:t>
      </w:r>
      <w:r w:rsidRPr="00CC7CDB">
        <w:t xml:space="preserve"> </w:t>
      </w:r>
      <w:r w:rsidRPr="00CC7CDB">
        <w:rPr>
          <w:rFonts w:asciiTheme="minorHAnsi" w:hAnsiTheme="minorHAnsi" w:cstheme="minorBidi"/>
        </w:rPr>
        <w:t>prognoositud energiatarbimisest</w:t>
      </w:r>
      <w:r w:rsidRPr="57490200">
        <w:rPr>
          <w:rFonts w:asciiTheme="minorHAnsi" w:hAnsiTheme="minorHAnsi" w:cstheme="minorBidi"/>
        </w:rPr>
        <w:t>. Kõik liikmesriigid koostavad riiklikud energia- ja kliimakavad</w:t>
      </w:r>
      <w:r>
        <w:rPr>
          <w:rFonts w:asciiTheme="minorHAnsi" w:hAnsiTheme="minorHAnsi" w:cstheme="minorBidi"/>
        </w:rPr>
        <w:t xml:space="preserve"> kümneks aastaks</w:t>
      </w:r>
      <w:r w:rsidRPr="57490200">
        <w:rPr>
          <w:rFonts w:asciiTheme="minorHAnsi" w:hAnsiTheme="minorHAnsi" w:cstheme="minorBidi"/>
        </w:rPr>
        <w:t xml:space="preserve">. Energiatõhususe esikohale seadmise planeerimisel, rakendamisel aitab </w:t>
      </w:r>
      <w:r>
        <w:rPr>
          <w:rFonts w:asciiTheme="minorHAnsi" w:hAnsiTheme="minorHAnsi" w:cstheme="minorBidi"/>
        </w:rPr>
        <w:t xml:space="preserve">see põhimõte </w:t>
      </w:r>
      <w:r w:rsidRPr="57490200">
        <w:rPr>
          <w:rFonts w:asciiTheme="minorHAnsi" w:hAnsiTheme="minorHAnsi" w:cstheme="minorBidi"/>
        </w:rPr>
        <w:t>tagada kindla, jätkusuutliku, konkurentsivõimelise ja vastuvõetava hinnaga energiavarustuse. Kõik liikmesriigid teevad järelevalvet energiatõhusus</w:t>
      </w:r>
      <w:r>
        <w:rPr>
          <w:rFonts w:asciiTheme="minorHAnsi" w:hAnsiTheme="minorHAnsi" w:cstheme="minorBidi"/>
        </w:rPr>
        <w:t>e</w:t>
      </w:r>
      <w:r w:rsidRPr="57490200">
        <w:rPr>
          <w:rFonts w:asciiTheme="minorHAnsi" w:hAnsiTheme="minorHAnsi" w:cstheme="minorBidi"/>
        </w:rPr>
        <w:t xml:space="preserve"> esikohale põhimõt</w:t>
      </w:r>
      <w:r>
        <w:rPr>
          <w:rFonts w:asciiTheme="minorHAnsi" w:hAnsiTheme="minorHAnsi" w:cstheme="minorBidi"/>
        </w:rPr>
        <w:t>e</w:t>
      </w:r>
      <w:r w:rsidRPr="57490200">
        <w:rPr>
          <w:rFonts w:asciiTheme="minorHAnsi" w:hAnsiTheme="minorHAnsi" w:cstheme="minorBidi"/>
        </w:rPr>
        <w:t>te</w:t>
      </w:r>
      <w:r>
        <w:rPr>
          <w:rFonts w:asciiTheme="minorHAnsi" w:hAnsiTheme="minorHAnsi" w:cstheme="minorBidi"/>
        </w:rPr>
        <w:t xml:space="preserve"> järgimise üle</w:t>
      </w:r>
      <w:r w:rsidRPr="57490200">
        <w:rPr>
          <w:rFonts w:asciiTheme="minorHAnsi" w:hAnsiTheme="minorHAnsi" w:cstheme="minorBidi"/>
        </w:rPr>
        <w:t xml:space="preserve"> elektri- ja gaasivõrkude planeerimisel, arendamisel ja investeerimisotsuste </w:t>
      </w:r>
      <w:r>
        <w:rPr>
          <w:rFonts w:asciiTheme="minorHAnsi" w:hAnsiTheme="minorHAnsi" w:cstheme="minorBidi"/>
        </w:rPr>
        <w:t>tegemisel</w:t>
      </w:r>
      <w:r w:rsidRPr="57490200">
        <w:rPr>
          <w:rFonts w:asciiTheme="minorHAnsi" w:hAnsiTheme="minorHAnsi" w:cstheme="minorBidi"/>
        </w:rPr>
        <w:t xml:space="preserve">. Eestis hakkab </w:t>
      </w:r>
      <w:r>
        <w:rPr>
          <w:rFonts w:asciiTheme="minorHAnsi" w:hAnsiTheme="minorHAnsi" w:cstheme="minorBidi"/>
        </w:rPr>
        <w:t>seda tegema</w:t>
      </w:r>
      <w:r w:rsidRPr="57490200">
        <w:rPr>
          <w:rFonts w:asciiTheme="minorHAnsi" w:hAnsiTheme="minorHAnsi" w:cstheme="minorBidi"/>
        </w:rPr>
        <w:t xml:space="preserve"> Konkurentsiamet.</w:t>
      </w:r>
    </w:p>
    <w:p w14:paraId="37B5B3FD" w14:textId="77777777" w:rsidR="00B731C3" w:rsidRPr="00597350" w:rsidRDefault="00B731C3" w:rsidP="00B731C3">
      <w:pPr>
        <w:pStyle w:val="muudetavtekst"/>
        <w:rPr>
          <w:rFonts w:asciiTheme="minorHAnsi" w:hAnsiTheme="minorHAnsi" w:cstheme="minorHAnsi"/>
          <w:b/>
          <w:bCs/>
        </w:rPr>
      </w:pPr>
    </w:p>
    <w:p w14:paraId="50C6B46B" w14:textId="77777777" w:rsidR="00B731C3" w:rsidRDefault="00B731C3" w:rsidP="00B731C3">
      <w:pPr>
        <w:pStyle w:val="muudetavtekst"/>
        <w:rPr>
          <w:rFonts w:asciiTheme="minorHAnsi" w:hAnsiTheme="minorHAnsi" w:cstheme="minorBidi"/>
          <w:b/>
          <w:bCs/>
        </w:rPr>
      </w:pPr>
    </w:p>
    <w:p w14:paraId="72045FF5" w14:textId="77777777" w:rsidR="00B731C3" w:rsidRPr="006D1AC1" w:rsidRDefault="00B731C3" w:rsidP="00B731C3">
      <w:pPr>
        <w:spacing w:after="0" w:line="240" w:lineRule="auto"/>
        <w:jc w:val="both"/>
        <w:rPr>
          <w:rFonts w:eastAsiaTheme="minorEastAsia"/>
          <w:sz w:val="24"/>
          <w:szCs w:val="24"/>
        </w:rPr>
      </w:pPr>
      <w:r w:rsidRPr="006D1AC1">
        <w:rPr>
          <w:rFonts w:eastAsiaTheme="minorEastAsia"/>
          <w:b/>
          <w:sz w:val="24"/>
          <w:szCs w:val="24"/>
          <w:lang w:eastAsia="et-EE"/>
        </w:rPr>
        <w:t>Normitehniline märkus</w:t>
      </w:r>
    </w:p>
    <w:p w14:paraId="2CE23A35" w14:textId="77777777" w:rsidR="00B731C3" w:rsidRDefault="00B731C3" w:rsidP="00B731C3">
      <w:pPr>
        <w:shd w:val="clear" w:color="auto" w:fill="FFFFFF" w:themeFill="background1"/>
        <w:spacing w:after="0"/>
        <w:jc w:val="both"/>
        <w:rPr>
          <w:rFonts w:eastAsiaTheme="minorEastAsia"/>
          <w:color w:val="333333"/>
          <w:sz w:val="24"/>
          <w:szCs w:val="24"/>
        </w:rPr>
      </w:pPr>
      <w:r w:rsidRPr="464F3E70">
        <w:rPr>
          <w:rFonts w:eastAsiaTheme="minorEastAsia"/>
          <w:color w:val="333333"/>
          <w:sz w:val="24"/>
          <w:szCs w:val="24"/>
        </w:rPr>
        <w:t>N</w:t>
      </w:r>
      <w:r w:rsidRPr="006D1AC1">
        <w:rPr>
          <w:rFonts w:eastAsiaTheme="minorEastAsia"/>
          <w:color w:val="333333"/>
          <w:sz w:val="24"/>
          <w:szCs w:val="24"/>
        </w:rPr>
        <w:t xml:space="preserve">ormitehnilises märkuses asuvate ülevõetud EL direktiivide loetelu muudetakse ning ajakohastatakse direktiivide andmeid. </w:t>
      </w:r>
    </w:p>
    <w:p w14:paraId="7DDFD4FF" w14:textId="77777777" w:rsidR="00B731C3" w:rsidRPr="006D1AC1" w:rsidRDefault="00B731C3" w:rsidP="00B731C3">
      <w:pPr>
        <w:shd w:val="clear" w:color="auto" w:fill="FFFFFF" w:themeFill="background1"/>
        <w:spacing w:after="0"/>
        <w:jc w:val="both"/>
        <w:rPr>
          <w:rFonts w:eastAsiaTheme="minorEastAsia"/>
          <w:color w:val="333333"/>
          <w:sz w:val="24"/>
          <w:szCs w:val="24"/>
        </w:rPr>
      </w:pPr>
      <w:r w:rsidRPr="006D1AC1">
        <w:rPr>
          <w:rFonts w:eastAsiaTheme="minorEastAsia"/>
          <w:color w:val="333333"/>
          <w:sz w:val="24"/>
          <w:szCs w:val="24"/>
        </w:rPr>
        <w:t xml:space="preserve">Andmed direktiivile 2009/73/EÜ ja selle muutmise direktiivile jäetakse välja. Lisatakse andmed direktiivile 2024/1788, millega asendatakse direktiiv 2009/73/EÜ. </w:t>
      </w:r>
    </w:p>
    <w:p w14:paraId="0EFB415C" w14:textId="77777777" w:rsidR="00B731C3" w:rsidRPr="006D1AC1" w:rsidRDefault="00B731C3" w:rsidP="00B731C3">
      <w:pPr>
        <w:shd w:val="clear" w:color="auto" w:fill="FFFFFF" w:themeFill="background1"/>
        <w:spacing w:after="0"/>
        <w:jc w:val="both"/>
        <w:rPr>
          <w:rFonts w:eastAsiaTheme="minorEastAsia"/>
          <w:color w:val="333333"/>
          <w:sz w:val="24"/>
          <w:szCs w:val="24"/>
        </w:rPr>
      </w:pPr>
      <w:r w:rsidRPr="006D1AC1">
        <w:rPr>
          <w:rFonts w:eastAsiaTheme="minorEastAsia"/>
          <w:color w:val="333333"/>
          <w:sz w:val="24"/>
          <w:szCs w:val="24"/>
        </w:rPr>
        <w:t xml:space="preserve">Andmed direktiivile 2009/28/EÜ jäetakse välja. Lisatakse andmed direktiivile 2018/2001, millega asendatakse direktiiv 2009/28/EÜ. </w:t>
      </w:r>
    </w:p>
    <w:p w14:paraId="580730AD" w14:textId="77777777" w:rsidR="00B731C3" w:rsidRPr="006D1AC1" w:rsidRDefault="00B731C3" w:rsidP="00B731C3">
      <w:pPr>
        <w:shd w:val="clear" w:color="auto" w:fill="FFFFFF" w:themeFill="background1"/>
        <w:spacing w:after="0"/>
        <w:jc w:val="both"/>
        <w:rPr>
          <w:rFonts w:eastAsiaTheme="minorEastAsia"/>
          <w:color w:val="333333"/>
          <w:sz w:val="24"/>
          <w:szCs w:val="24"/>
        </w:rPr>
      </w:pPr>
      <w:r w:rsidRPr="006D1AC1">
        <w:rPr>
          <w:rFonts w:eastAsiaTheme="minorEastAsia"/>
          <w:color w:val="333333"/>
          <w:sz w:val="24"/>
          <w:szCs w:val="24"/>
        </w:rPr>
        <w:t>Andmed direktiivile 2012/27/EL ja selle muutmise direktiivile jäetakse välja. Lisatakse andmed direktiivile 2023/1791, millega asendatakse direktiiv 2012/27/EL.</w:t>
      </w:r>
    </w:p>
    <w:p w14:paraId="26E336EA" w14:textId="77777777" w:rsidR="00B731C3" w:rsidRDefault="00B731C3" w:rsidP="00B731C3">
      <w:pPr>
        <w:spacing w:after="0" w:line="240" w:lineRule="auto"/>
        <w:jc w:val="both"/>
        <w:rPr>
          <w:rFonts w:eastAsiaTheme="minorEastAsia"/>
          <w:color w:val="333333"/>
          <w:sz w:val="24"/>
          <w:szCs w:val="24"/>
        </w:rPr>
      </w:pPr>
    </w:p>
    <w:p w14:paraId="75BE6F38" w14:textId="77777777" w:rsidR="00B731C3" w:rsidRDefault="00B731C3" w:rsidP="00B731C3">
      <w:pPr>
        <w:spacing w:after="0" w:line="240" w:lineRule="auto"/>
        <w:jc w:val="both"/>
        <w:rPr>
          <w:rFonts w:eastAsia="Times New Roman"/>
          <w:b/>
          <w:bCs/>
          <w:sz w:val="24"/>
          <w:szCs w:val="24"/>
          <w:lang w:eastAsia="et-EE"/>
        </w:rPr>
      </w:pPr>
    </w:p>
    <w:p w14:paraId="25BDAABC" w14:textId="77777777" w:rsidR="00B731C3" w:rsidRPr="00DB4996" w:rsidRDefault="00B731C3" w:rsidP="00B731C3">
      <w:pPr>
        <w:spacing w:after="0" w:line="240" w:lineRule="auto"/>
        <w:jc w:val="both"/>
        <w:rPr>
          <w:rFonts w:eastAsia="Times New Roman" w:cstheme="minorHAnsi"/>
          <w:b/>
          <w:bCs/>
          <w:sz w:val="24"/>
          <w:szCs w:val="24"/>
          <w:lang w:eastAsia="et-EE"/>
        </w:rPr>
      </w:pPr>
      <w:r w:rsidRPr="00DB4996">
        <w:rPr>
          <w:rFonts w:eastAsia="Times New Roman" w:cstheme="minorHAnsi"/>
          <w:b/>
          <w:bCs/>
          <w:sz w:val="24"/>
          <w:szCs w:val="24"/>
          <w:lang w:eastAsia="et-EE"/>
        </w:rPr>
        <w:t>4. Eelnõu terminoloogia</w:t>
      </w:r>
    </w:p>
    <w:p w14:paraId="784BBDA5" w14:textId="77777777" w:rsidR="00B731C3" w:rsidRDefault="00B731C3" w:rsidP="00B731C3">
      <w:pPr>
        <w:spacing w:after="0" w:line="240" w:lineRule="auto"/>
        <w:jc w:val="both"/>
        <w:rPr>
          <w:rFonts w:eastAsia="Times New Roman" w:cstheme="minorHAnsi"/>
          <w:sz w:val="24"/>
          <w:szCs w:val="24"/>
          <w:lang w:eastAsia="et-EE"/>
        </w:rPr>
      </w:pPr>
    </w:p>
    <w:p w14:paraId="0CB74A7F" w14:textId="77777777" w:rsidR="00B731C3" w:rsidRPr="00CA0842" w:rsidRDefault="00B731C3" w:rsidP="00B731C3">
      <w:pPr>
        <w:spacing w:after="0" w:line="240" w:lineRule="auto"/>
        <w:jc w:val="both"/>
        <w:rPr>
          <w:rFonts w:ascii="Times New Roman" w:eastAsia="Times New Roman" w:hAnsi="Times New Roman" w:cs="Times New Roman"/>
          <w:sz w:val="24"/>
          <w:szCs w:val="24"/>
        </w:rPr>
      </w:pPr>
      <w:r w:rsidRPr="6BB1B18E">
        <w:rPr>
          <w:rFonts w:eastAsia="Times New Roman"/>
          <w:sz w:val="24"/>
          <w:szCs w:val="24"/>
          <w:lang w:eastAsia="et-EE"/>
        </w:rPr>
        <w:t>Eelnõus võetakse kasutusele järgmised terminid:</w:t>
      </w:r>
    </w:p>
    <w:p w14:paraId="6EB19ECF" w14:textId="77777777" w:rsidR="00B731C3" w:rsidRDefault="00B731C3" w:rsidP="00B731C3">
      <w:pPr>
        <w:spacing w:after="0" w:line="240" w:lineRule="auto"/>
        <w:jc w:val="both"/>
        <w:rPr>
          <w:rFonts w:eastAsia="Times New Roman"/>
          <w:sz w:val="24"/>
          <w:szCs w:val="24"/>
          <w:lang w:eastAsia="et-EE"/>
        </w:rPr>
      </w:pPr>
    </w:p>
    <w:p w14:paraId="2F265FA4" w14:textId="77777777" w:rsidR="00B731C3" w:rsidRDefault="00B731C3" w:rsidP="00B731C3">
      <w:pPr>
        <w:spacing w:after="0" w:line="240" w:lineRule="auto"/>
        <w:jc w:val="both"/>
        <w:rPr>
          <w:rFonts w:eastAsia="Times New Roman"/>
          <w:sz w:val="24"/>
          <w:szCs w:val="24"/>
          <w:lang w:eastAsia="et-EE"/>
        </w:rPr>
      </w:pPr>
    </w:p>
    <w:p w14:paraId="6E2FD48B" w14:textId="77777777" w:rsidR="00B731C3" w:rsidRDefault="00B731C3" w:rsidP="00B731C3">
      <w:pPr>
        <w:spacing w:after="0" w:line="240" w:lineRule="auto"/>
        <w:jc w:val="both"/>
        <w:rPr>
          <w:rFonts w:eastAsia="Times New Roman" w:cstheme="minorHAnsi"/>
          <w:b/>
          <w:bCs/>
          <w:sz w:val="24"/>
          <w:szCs w:val="24"/>
          <w:lang w:eastAsia="et-EE"/>
        </w:rPr>
      </w:pPr>
    </w:p>
    <w:p w14:paraId="3BF9BAA7" w14:textId="77777777" w:rsidR="00B731C3" w:rsidRPr="00DB4996" w:rsidRDefault="00B731C3" w:rsidP="00B731C3">
      <w:pPr>
        <w:spacing w:after="0" w:line="240" w:lineRule="auto"/>
        <w:jc w:val="both"/>
        <w:rPr>
          <w:rFonts w:eastAsia="Times New Roman" w:cstheme="minorHAnsi"/>
          <w:b/>
          <w:bCs/>
          <w:sz w:val="24"/>
          <w:szCs w:val="24"/>
          <w:lang w:eastAsia="et-EE"/>
        </w:rPr>
      </w:pPr>
      <w:r w:rsidRPr="00DB4996">
        <w:rPr>
          <w:rFonts w:eastAsia="Times New Roman" w:cstheme="minorHAnsi"/>
          <w:b/>
          <w:bCs/>
          <w:sz w:val="24"/>
          <w:szCs w:val="24"/>
          <w:lang w:eastAsia="et-EE"/>
        </w:rPr>
        <w:t>5. Eelnõu vastavus Euroopa Liidu õigusele</w:t>
      </w:r>
    </w:p>
    <w:p w14:paraId="767A70B5" w14:textId="77777777" w:rsidR="00B731C3" w:rsidRDefault="00B731C3" w:rsidP="00B731C3">
      <w:pPr>
        <w:spacing w:after="0" w:line="240" w:lineRule="auto"/>
        <w:jc w:val="both"/>
        <w:rPr>
          <w:rFonts w:eastAsia="Times New Roman" w:cstheme="minorHAnsi"/>
          <w:sz w:val="24"/>
          <w:szCs w:val="24"/>
          <w:lang w:eastAsia="et-EE"/>
        </w:rPr>
      </w:pPr>
    </w:p>
    <w:p w14:paraId="5242BA00" w14:textId="77777777" w:rsidR="00B731C3" w:rsidRDefault="00B731C3" w:rsidP="00B731C3">
      <w:pPr>
        <w:spacing w:after="0" w:line="240" w:lineRule="auto"/>
        <w:jc w:val="both"/>
        <w:rPr>
          <w:rFonts w:eastAsia="Times New Roman" w:cstheme="minorHAnsi"/>
          <w:sz w:val="24"/>
          <w:szCs w:val="24"/>
          <w:lang w:eastAsia="et-EE"/>
        </w:rPr>
      </w:pPr>
      <w:r w:rsidRPr="003A2600">
        <w:rPr>
          <w:rFonts w:eastAsia="Times New Roman" w:cstheme="minorHAnsi"/>
          <w:sz w:val="24"/>
          <w:szCs w:val="24"/>
          <w:lang w:eastAsia="et-EE"/>
        </w:rPr>
        <w:t>Euroopa Parlamendi ja nõukogu direktiivi 2012/27/EL on korduvalt oluliselt muudetud</w:t>
      </w:r>
      <w:r>
        <w:rPr>
          <w:rFonts w:eastAsia="Times New Roman" w:cstheme="minorHAnsi"/>
          <w:sz w:val="24"/>
          <w:szCs w:val="24"/>
          <w:lang w:eastAsia="et-EE"/>
        </w:rPr>
        <w:t xml:space="preserve">. Eelnõu on vastavuses Euroopa Parlamendi ja nõukogu direktiiviga </w:t>
      </w:r>
      <w:r w:rsidRPr="00A221A7">
        <w:rPr>
          <w:rFonts w:eastAsia="Times New Roman" w:cstheme="minorHAnsi"/>
          <w:sz w:val="24"/>
          <w:szCs w:val="24"/>
          <w:lang w:eastAsia="et-EE"/>
        </w:rPr>
        <w:t>(EL) 2023/1791, 13. september 2023, mis käsitleb energiatõhusust ja millega muudetakse määrust (EL) 2023/955 (uuesti sõnastatud)</w:t>
      </w:r>
      <w:r>
        <w:rPr>
          <w:rFonts w:eastAsia="Times New Roman" w:cstheme="minorHAnsi"/>
          <w:sz w:val="24"/>
          <w:szCs w:val="24"/>
          <w:lang w:eastAsia="et-EE"/>
        </w:rPr>
        <w:t xml:space="preserve">. </w:t>
      </w:r>
      <w:r w:rsidRPr="00B402EA">
        <w:rPr>
          <w:rFonts w:eastAsia="Times New Roman" w:cstheme="minorHAnsi"/>
          <w:sz w:val="24"/>
          <w:szCs w:val="24"/>
          <w:lang w:eastAsia="et-EE"/>
        </w:rPr>
        <w:t xml:space="preserve">Seletuskirjale on lisatud </w:t>
      </w:r>
      <w:r>
        <w:rPr>
          <w:rFonts w:eastAsia="Times New Roman" w:cstheme="minorHAnsi"/>
          <w:sz w:val="24"/>
          <w:szCs w:val="24"/>
          <w:lang w:eastAsia="et-EE"/>
        </w:rPr>
        <w:t xml:space="preserve">Eesti õiguse ja </w:t>
      </w:r>
      <w:r w:rsidRPr="00B402EA">
        <w:rPr>
          <w:rFonts w:eastAsia="Times New Roman" w:cstheme="minorHAnsi"/>
          <w:sz w:val="24"/>
          <w:szCs w:val="24"/>
          <w:lang w:eastAsia="et-EE"/>
        </w:rPr>
        <w:t>direktiivi vastavustabel.</w:t>
      </w:r>
    </w:p>
    <w:p w14:paraId="64E681B7" w14:textId="77777777" w:rsidR="00B731C3" w:rsidRDefault="00B731C3" w:rsidP="00B731C3">
      <w:pPr>
        <w:spacing w:after="0" w:line="240" w:lineRule="auto"/>
        <w:jc w:val="both"/>
        <w:rPr>
          <w:rFonts w:eastAsia="Times New Roman" w:cstheme="minorHAnsi"/>
          <w:b/>
          <w:bCs/>
          <w:color w:val="000000"/>
          <w:sz w:val="24"/>
          <w:szCs w:val="24"/>
          <w:bdr w:val="none" w:sz="0" w:space="0" w:color="auto" w:frame="1"/>
          <w:lang w:eastAsia="et-EE"/>
        </w:rPr>
      </w:pPr>
    </w:p>
    <w:p w14:paraId="7A0B4303" w14:textId="77777777" w:rsidR="00B731C3" w:rsidRPr="00DB4996" w:rsidRDefault="00B731C3" w:rsidP="00B731C3">
      <w:pPr>
        <w:spacing w:after="0" w:line="240" w:lineRule="auto"/>
        <w:jc w:val="both"/>
        <w:rPr>
          <w:rFonts w:eastAsia="Times New Roman" w:cstheme="minorHAnsi"/>
          <w:b/>
          <w:bCs/>
          <w:color w:val="000000"/>
          <w:sz w:val="24"/>
          <w:szCs w:val="24"/>
          <w:bdr w:val="none" w:sz="0" w:space="0" w:color="auto" w:frame="1"/>
          <w:lang w:eastAsia="et-EE"/>
        </w:rPr>
      </w:pPr>
      <w:r w:rsidRPr="00DB4996">
        <w:rPr>
          <w:rFonts w:eastAsia="Times New Roman" w:cstheme="minorHAnsi"/>
          <w:b/>
          <w:bCs/>
          <w:color w:val="000000"/>
          <w:sz w:val="24"/>
          <w:szCs w:val="24"/>
          <w:bdr w:val="none" w:sz="0" w:space="0" w:color="auto" w:frame="1"/>
          <w:lang w:eastAsia="et-EE"/>
        </w:rPr>
        <w:t>6. Seaduse mõjud</w:t>
      </w:r>
    </w:p>
    <w:p w14:paraId="1D16BBC2" w14:textId="77777777" w:rsidR="00B731C3" w:rsidRDefault="00B731C3" w:rsidP="00B731C3">
      <w:pPr>
        <w:spacing w:after="0" w:line="240" w:lineRule="auto"/>
        <w:jc w:val="both"/>
        <w:rPr>
          <w:rFonts w:cstheme="minorHAnsi"/>
          <w:bCs/>
          <w:sz w:val="24"/>
          <w:szCs w:val="24"/>
        </w:rPr>
      </w:pPr>
    </w:p>
    <w:p w14:paraId="0C2DCA16" w14:textId="77777777" w:rsidR="00B731C3" w:rsidRDefault="00B731C3" w:rsidP="00B731C3">
      <w:pPr>
        <w:spacing w:after="0" w:line="240" w:lineRule="auto"/>
        <w:jc w:val="both"/>
        <w:rPr>
          <w:rFonts w:cstheme="minorHAnsi"/>
          <w:bCs/>
          <w:sz w:val="24"/>
          <w:szCs w:val="24"/>
        </w:rPr>
      </w:pPr>
      <w:r>
        <w:rPr>
          <w:rFonts w:cstheme="minorHAnsi"/>
          <w:bCs/>
          <w:sz w:val="24"/>
          <w:szCs w:val="24"/>
        </w:rPr>
        <w:t>Seaduse</w:t>
      </w:r>
      <w:r w:rsidRPr="002E0553">
        <w:rPr>
          <w:rFonts w:cstheme="minorHAnsi"/>
          <w:bCs/>
          <w:sz w:val="24"/>
          <w:szCs w:val="24"/>
        </w:rPr>
        <w:t xml:space="preserve"> rakendamine on oluline samm Eesti </w:t>
      </w:r>
      <w:r>
        <w:rPr>
          <w:rFonts w:cstheme="minorHAnsi"/>
          <w:bCs/>
          <w:sz w:val="24"/>
          <w:szCs w:val="24"/>
        </w:rPr>
        <w:t>energiatõhususe</w:t>
      </w:r>
      <w:r w:rsidRPr="002E0553">
        <w:rPr>
          <w:rFonts w:cstheme="minorHAnsi"/>
          <w:bCs/>
          <w:sz w:val="24"/>
          <w:szCs w:val="24"/>
        </w:rPr>
        <w:t xml:space="preserve"> eesmärkide saavutamiseks, pakkudes majanduslik</w:t>
      </w:r>
      <w:r>
        <w:rPr>
          <w:rFonts w:cstheme="minorHAnsi"/>
          <w:bCs/>
          <w:sz w:val="24"/>
          <w:szCs w:val="24"/>
        </w:rPr>
        <w:t>ku</w:t>
      </w:r>
      <w:r w:rsidRPr="002E0553">
        <w:rPr>
          <w:rFonts w:cstheme="minorHAnsi"/>
          <w:bCs/>
          <w:sz w:val="24"/>
          <w:szCs w:val="24"/>
        </w:rPr>
        <w:t>, keskkonna- ja sotsiaalse</w:t>
      </w:r>
      <w:r>
        <w:rPr>
          <w:rFonts w:cstheme="minorHAnsi"/>
          <w:bCs/>
          <w:sz w:val="24"/>
          <w:szCs w:val="24"/>
        </w:rPr>
        <w:t>t</w:t>
      </w:r>
      <w:r w:rsidRPr="002E0553">
        <w:rPr>
          <w:rFonts w:cstheme="minorHAnsi"/>
          <w:bCs/>
          <w:sz w:val="24"/>
          <w:szCs w:val="24"/>
        </w:rPr>
        <w:t xml:space="preserve"> kasu. Mõjude hoolikas hindamine ja juhtimine tagab, et rakendamine on edukas ja toob kaasa positiivseid muutusi Eesti energiasüsteemis ja ühiskonnas tervikuna</w:t>
      </w:r>
      <w:r>
        <w:rPr>
          <w:rFonts w:cstheme="minorHAnsi"/>
          <w:bCs/>
          <w:sz w:val="24"/>
          <w:szCs w:val="24"/>
        </w:rPr>
        <w:t>. Väiksemad energiakulud aitavad suurendada ettevõtete konkurentsivõimet. Avanevad uued võimalused ka uutele ettevõtlussuundadele, nt energiajuhtimissüsteemidele nii üldise teenusena kui ka seadmete tootjatele, riist- ja tarkvara teenuseid pakkuvatele ettevõtetele</w:t>
      </w:r>
      <w:r w:rsidRPr="002E0553">
        <w:rPr>
          <w:rFonts w:cstheme="minorHAnsi"/>
          <w:bCs/>
          <w:sz w:val="24"/>
          <w:szCs w:val="24"/>
        </w:rPr>
        <w:t>.</w:t>
      </w:r>
    </w:p>
    <w:p w14:paraId="53AE61D7" w14:textId="77777777" w:rsidR="00B731C3" w:rsidRDefault="00B731C3" w:rsidP="00B731C3">
      <w:pPr>
        <w:spacing w:after="0" w:line="240" w:lineRule="auto"/>
        <w:jc w:val="both"/>
        <w:rPr>
          <w:rFonts w:cstheme="minorHAnsi"/>
          <w:bCs/>
          <w:sz w:val="24"/>
          <w:szCs w:val="24"/>
        </w:rPr>
      </w:pPr>
    </w:p>
    <w:p w14:paraId="63EC699E" w14:textId="77777777" w:rsidR="00B731C3" w:rsidRPr="00207DE9" w:rsidRDefault="00B731C3" w:rsidP="00B731C3">
      <w:pPr>
        <w:spacing w:after="0" w:line="240" w:lineRule="auto"/>
        <w:jc w:val="both"/>
        <w:rPr>
          <w:rFonts w:cstheme="minorHAnsi"/>
          <w:b/>
          <w:sz w:val="24"/>
          <w:szCs w:val="24"/>
        </w:rPr>
      </w:pPr>
      <w:r w:rsidRPr="00207DE9">
        <w:rPr>
          <w:rFonts w:cstheme="minorHAnsi"/>
          <w:b/>
          <w:sz w:val="24"/>
          <w:szCs w:val="24"/>
        </w:rPr>
        <w:t>6.1. Sotsiaalne mõju</w:t>
      </w:r>
    </w:p>
    <w:p w14:paraId="7F9CBD8B" w14:textId="77777777" w:rsidR="00B731C3" w:rsidRDefault="00B731C3" w:rsidP="00B731C3">
      <w:pPr>
        <w:spacing w:after="0" w:line="240" w:lineRule="auto"/>
        <w:jc w:val="both"/>
        <w:rPr>
          <w:rFonts w:cstheme="minorHAnsi"/>
          <w:bCs/>
          <w:sz w:val="24"/>
          <w:szCs w:val="24"/>
        </w:rPr>
      </w:pPr>
      <w:r>
        <w:rPr>
          <w:rFonts w:cstheme="minorHAnsi"/>
          <w:bCs/>
          <w:sz w:val="24"/>
          <w:szCs w:val="24"/>
        </w:rPr>
        <w:t>Direktiiv (EL) 2023/1791 pöörab tähelepanu energiasäästu saavutamisele kõige haavatavamate rühmade (</w:t>
      </w:r>
      <w:r w:rsidRPr="00575CBF">
        <w:rPr>
          <w:rFonts w:cstheme="minorHAnsi"/>
          <w:bCs/>
          <w:sz w:val="24"/>
          <w:szCs w:val="24"/>
        </w:rPr>
        <w:t>vähekaitstud tarbija</w:t>
      </w:r>
      <w:r>
        <w:rPr>
          <w:rFonts w:cstheme="minorHAnsi"/>
          <w:bCs/>
          <w:sz w:val="24"/>
          <w:szCs w:val="24"/>
        </w:rPr>
        <w:t>d</w:t>
      </w:r>
      <w:r w:rsidRPr="00575CBF">
        <w:rPr>
          <w:rFonts w:cstheme="minorHAnsi"/>
          <w:bCs/>
          <w:sz w:val="24"/>
          <w:szCs w:val="24"/>
        </w:rPr>
        <w:t xml:space="preserve"> ja lõpptarbija</w:t>
      </w:r>
      <w:r>
        <w:rPr>
          <w:rFonts w:cstheme="minorHAnsi"/>
          <w:bCs/>
          <w:sz w:val="24"/>
          <w:szCs w:val="24"/>
        </w:rPr>
        <w:t>d</w:t>
      </w:r>
      <w:r w:rsidRPr="00575CBF">
        <w:rPr>
          <w:rFonts w:cstheme="minorHAnsi"/>
          <w:bCs/>
          <w:sz w:val="24"/>
          <w:szCs w:val="24"/>
        </w:rPr>
        <w:t>, madala või keskmise sissetulekuga leibkon</w:t>
      </w:r>
      <w:r>
        <w:rPr>
          <w:rFonts w:cstheme="minorHAnsi"/>
          <w:bCs/>
          <w:sz w:val="24"/>
          <w:szCs w:val="24"/>
        </w:rPr>
        <w:t>nad</w:t>
      </w:r>
      <w:r w:rsidRPr="00575CBF">
        <w:rPr>
          <w:rFonts w:cstheme="minorHAnsi"/>
          <w:bCs/>
          <w:sz w:val="24"/>
          <w:szCs w:val="24"/>
        </w:rPr>
        <w:t>, sotsiaaleluruumides elavate inimes</w:t>
      </w:r>
      <w:r>
        <w:rPr>
          <w:rFonts w:cstheme="minorHAnsi"/>
          <w:bCs/>
          <w:sz w:val="24"/>
          <w:szCs w:val="24"/>
        </w:rPr>
        <w:t>ed</w:t>
      </w:r>
      <w:r w:rsidRPr="00575CBF">
        <w:rPr>
          <w:rFonts w:cstheme="minorHAnsi"/>
          <w:bCs/>
          <w:sz w:val="24"/>
          <w:szCs w:val="24"/>
        </w:rPr>
        <w:t>, eakate ning maa- ja äärepoolsetes piirkondades elava</w:t>
      </w:r>
      <w:r>
        <w:rPr>
          <w:rFonts w:cstheme="minorHAnsi"/>
          <w:bCs/>
          <w:sz w:val="24"/>
          <w:szCs w:val="24"/>
        </w:rPr>
        <w:t>d</w:t>
      </w:r>
      <w:r w:rsidRPr="00575CBF">
        <w:rPr>
          <w:rFonts w:cstheme="minorHAnsi"/>
          <w:bCs/>
          <w:sz w:val="24"/>
          <w:szCs w:val="24"/>
        </w:rPr>
        <w:t xml:space="preserve"> inimese</w:t>
      </w:r>
      <w:r>
        <w:rPr>
          <w:rFonts w:cstheme="minorHAnsi"/>
          <w:bCs/>
          <w:sz w:val="24"/>
          <w:szCs w:val="24"/>
        </w:rPr>
        <w:t>d)</w:t>
      </w:r>
      <w:r w:rsidRPr="00575CBF">
        <w:rPr>
          <w:rFonts w:cstheme="minorHAnsi"/>
          <w:bCs/>
          <w:sz w:val="24"/>
          <w:szCs w:val="24"/>
        </w:rPr>
        <w:t xml:space="preserve">. </w:t>
      </w:r>
      <w:r>
        <w:rPr>
          <w:rFonts w:cstheme="minorHAnsi"/>
          <w:bCs/>
          <w:sz w:val="24"/>
          <w:szCs w:val="24"/>
        </w:rPr>
        <w:t>Peamine takistus on nende rühmade juures on eelkõige huvi ja rahastamisvõimaluste puudumine. Seega avaldub tulevikus poliitikameetmete rakendamisel positiivne mõju just haavatavatele rühmadele, eriti just ELi rahastamisskeemide rakendamisel. Euroopa Liidus on loodud Sotsiaalne Kliimafond, mis keskendub just nendele rühmadele, luues meetmeid kuidas nende hoonete ja seadmete energiatõhusust</w:t>
      </w:r>
    </w:p>
    <w:p w14:paraId="3B2073F5" w14:textId="77777777" w:rsidR="00B731C3" w:rsidRDefault="00B731C3" w:rsidP="00B731C3">
      <w:pPr>
        <w:spacing w:after="0" w:line="240" w:lineRule="auto"/>
        <w:jc w:val="both"/>
        <w:rPr>
          <w:rFonts w:cstheme="minorHAnsi"/>
          <w:bCs/>
          <w:sz w:val="24"/>
          <w:szCs w:val="24"/>
        </w:rPr>
      </w:pPr>
    </w:p>
    <w:p w14:paraId="670D5E96" w14:textId="77777777" w:rsidR="00B731C3" w:rsidRPr="00207DE9" w:rsidRDefault="00B731C3" w:rsidP="00B731C3">
      <w:pPr>
        <w:spacing w:after="0" w:line="240" w:lineRule="auto"/>
        <w:jc w:val="both"/>
        <w:rPr>
          <w:rFonts w:cstheme="minorHAnsi"/>
          <w:b/>
          <w:sz w:val="24"/>
          <w:szCs w:val="24"/>
        </w:rPr>
      </w:pPr>
      <w:r w:rsidRPr="00207DE9">
        <w:rPr>
          <w:rFonts w:cstheme="minorHAnsi"/>
          <w:b/>
          <w:sz w:val="24"/>
          <w:szCs w:val="24"/>
        </w:rPr>
        <w:t>6.2. Mõju riigi julgeolekule ja välissuhetele</w:t>
      </w:r>
    </w:p>
    <w:p w14:paraId="06F27F81" w14:textId="77777777" w:rsidR="00B731C3" w:rsidRDefault="00B731C3" w:rsidP="00B731C3">
      <w:pPr>
        <w:spacing w:after="0" w:line="240" w:lineRule="auto"/>
        <w:jc w:val="both"/>
        <w:rPr>
          <w:rFonts w:cstheme="minorHAnsi"/>
          <w:bCs/>
          <w:sz w:val="24"/>
          <w:szCs w:val="24"/>
        </w:rPr>
      </w:pPr>
      <w:r>
        <w:rPr>
          <w:rFonts w:cstheme="minorHAnsi"/>
          <w:bCs/>
          <w:sz w:val="24"/>
          <w:szCs w:val="24"/>
        </w:rPr>
        <w:t xml:space="preserve">Mõju riigi julgeolekule ja välissuhetele on minimaalne. Relvajõududel ei ole energiasäästu kohustust, kuid ka seal innustatakse otsima meetmeid, kuidas energiatõhusust suurendada. </w:t>
      </w:r>
      <w:r>
        <w:rPr>
          <w:rFonts w:cstheme="minorHAnsi"/>
          <w:bCs/>
          <w:sz w:val="24"/>
          <w:szCs w:val="24"/>
        </w:rPr>
        <w:lastRenderedPageBreak/>
        <w:t>Üldine energiatõhusus ning kohalike energiaallikate kasutamine vähendab aga riigi sõltuvust välistest tarnijatest, mis suurendab riigi sõltumatust ja julgeolekut.</w:t>
      </w:r>
    </w:p>
    <w:p w14:paraId="201237A1" w14:textId="77777777" w:rsidR="00B731C3" w:rsidRDefault="00B731C3" w:rsidP="00B731C3">
      <w:pPr>
        <w:spacing w:after="0" w:line="240" w:lineRule="auto"/>
        <w:jc w:val="both"/>
        <w:rPr>
          <w:rFonts w:cstheme="minorHAnsi"/>
          <w:bCs/>
          <w:sz w:val="24"/>
          <w:szCs w:val="24"/>
        </w:rPr>
      </w:pPr>
    </w:p>
    <w:p w14:paraId="75ECE511" w14:textId="77777777" w:rsidR="00B731C3" w:rsidRPr="00207DE9" w:rsidRDefault="00B731C3" w:rsidP="00B731C3">
      <w:pPr>
        <w:spacing w:after="0" w:line="240" w:lineRule="auto"/>
        <w:jc w:val="both"/>
        <w:rPr>
          <w:rFonts w:cstheme="minorHAnsi"/>
          <w:b/>
          <w:sz w:val="24"/>
          <w:szCs w:val="24"/>
        </w:rPr>
      </w:pPr>
      <w:r w:rsidRPr="00207DE9">
        <w:rPr>
          <w:rFonts w:cstheme="minorHAnsi"/>
          <w:b/>
          <w:sz w:val="24"/>
          <w:szCs w:val="24"/>
        </w:rPr>
        <w:t>6.3. Mõju majandusele</w:t>
      </w:r>
    </w:p>
    <w:p w14:paraId="1C1CA541" w14:textId="77777777" w:rsidR="00B731C3" w:rsidRDefault="00B731C3" w:rsidP="00B731C3">
      <w:pPr>
        <w:spacing w:after="0" w:line="240" w:lineRule="auto"/>
        <w:jc w:val="both"/>
        <w:rPr>
          <w:rFonts w:cstheme="minorHAnsi"/>
          <w:bCs/>
          <w:sz w:val="24"/>
          <w:szCs w:val="24"/>
        </w:rPr>
      </w:pPr>
      <w:r>
        <w:rPr>
          <w:rFonts w:cstheme="minorHAnsi"/>
          <w:bCs/>
          <w:sz w:val="24"/>
          <w:szCs w:val="24"/>
        </w:rPr>
        <w:t>Energiakasutusel ja energiahindadel on suur mõju ettevõtete äritegevusele ja konkurentsivõimele. Seega kõik meetmed, mis aitavad energiakasutust vähendada ja samal ajal tootlikkust parandada, on määrava tähtsusega.</w:t>
      </w:r>
    </w:p>
    <w:p w14:paraId="11FC6DA2" w14:textId="77777777" w:rsidR="00B731C3" w:rsidRDefault="00B731C3" w:rsidP="00B731C3">
      <w:pPr>
        <w:spacing w:after="0" w:line="240" w:lineRule="auto"/>
        <w:jc w:val="both"/>
        <w:rPr>
          <w:rFonts w:cstheme="minorHAnsi"/>
          <w:bCs/>
          <w:sz w:val="24"/>
          <w:szCs w:val="24"/>
        </w:rPr>
      </w:pPr>
      <w:r>
        <w:rPr>
          <w:rFonts w:cstheme="minorHAnsi"/>
          <w:bCs/>
          <w:sz w:val="24"/>
          <w:szCs w:val="24"/>
        </w:rPr>
        <w:t>Energiatõhusust ja süsinikuheite vähendamist käsitlevad ka Euroopa Liidu raportid ja algatused, nagu Mario Draghi raport</w:t>
      </w:r>
      <w:r>
        <w:rPr>
          <w:rStyle w:val="Allmrkuseviide"/>
          <w:rFonts w:cstheme="minorHAnsi"/>
          <w:bCs/>
          <w:sz w:val="24"/>
          <w:szCs w:val="24"/>
        </w:rPr>
        <w:footnoteReference w:id="71"/>
      </w:r>
      <w:r>
        <w:rPr>
          <w:rFonts w:cstheme="minorHAnsi"/>
          <w:bCs/>
          <w:sz w:val="24"/>
          <w:szCs w:val="24"/>
        </w:rPr>
        <w:t>, Konkurentsivõime Kompass</w:t>
      </w:r>
      <w:r>
        <w:rPr>
          <w:rStyle w:val="Allmrkuseviide"/>
          <w:rFonts w:cstheme="minorHAnsi"/>
          <w:bCs/>
          <w:sz w:val="24"/>
          <w:szCs w:val="24"/>
        </w:rPr>
        <w:footnoteReference w:id="72"/>
      </w:r>
      <w:r>
        <w:rPr>
          <w:rFonts w:cstheme="minorHAnsi"/>
          <w:bCs/>
          <w:sz w:val="24"/>
          <w:szCs w:val="24"/>
        </w:rPr>
        <w:t xml:space="preserve"> ja puhta tööstuse kokkulepe</w:t>
      </w:r>
      <w:r>
        <w:rPr>
          <w:rStyle w:val="Allmrkuseviide"/>
          <w:rFonts w:cstheme="minorHAnsi"/>
          <w:bCs/>
          <w:sz w:val="24"/>
          <w:szCs w:val="24"/>
        </w:rPr>
        <w:footnoteReference w:id="73"/>
      </w:r>
      <w:r>
        <w:rPr>
          <w:rFonts w:cstheme="minorHAnsi"/>
          <w:bCs/>
          <w:sz w:val="24"/>
          <w:szCs w:val="24"/>
        </w:rPr>
        <w:t>.</w:t>
      </w:r>
    </w:p>
    <w:p w14:paraId="1C068A1D" w14:textId="77777777" w:rsidR="00B731C3" w:rsidRDefault="00B731C3" w:rsidP="00B731C3">
      <w:pPr>
        <w:spacing w:after="0" w:line="240" w:lineRule="auto"/>
        <w:jc w:val="both"/>
        <w:rPr>
          <w:rFonts w:cstheme="minorHAnsi"/>
          <w:bCs/>
          <w:sz w:val="24"/>
          <w:szCs w:val="24"/>
        </w:rPr>
      </w:pPr>
      <w:r>
        <w:rPr>
          <w:rFonts w:cstheme="minorHAnsi"/>
          <w:bCs/>
          <w:sz w:val="24"/>
          <w:szCs w:val="24"/>
        </w:rPr>
        <w:t>Meetmed, mis aitavad energiatõhususele kaasa, on nii teadlikkuse parandamine (nt energia- ja ressursiauditid ja parimate kogemuste jagamine) kui ka investeeringutoetused energiatõhusamate tehnoloogiate kasutuselevõtuks. Näiteks ettevõtete ressursitõhususe meede (</w:t>
      </w:r>
      <w:hyperlink r:id="rId34" w:history="1">
        <w:r w:rsidRPr="00BC7017">
          <w:rPr>
            <w:rStyle w:val="Hperlink"/>
            <w:rFonts w:cstheme="minorHAnsi"/>
            <w:bCs/>
            <w:sz w:val="24"/>
            <w:szCs w:val="24"/>
          </w:rPr>
          <w:t>https://kik.ee/et/toetavad-tegevused/ettevotete-ressursitohusus</w:t>
        </w:r>
      </w:hyperlink>
      <w:r>
        <w:t>)</w:t>
      </w:r>
      <w:r>
        <w:rPr>
          <w:rFonts w:cstheme="minorHAnsi"/>
          <w:bCs/>
          <w:sz w:val="24"/>
          <w:szCs w:val="24"/>
        </w:rPr>
        <w:t>15 miljonit eurot.</w:t>
      </w:r>
    </w:p>
    <w:p w14:paraId="41ED3F18" w14:textId="77777777" w:rsidR="00B731C3" w:rsidRDefault="00B731C3" w:rsidP="00B731C3">
      <w:pPr>
        <w:spacing w:after="0" w:line="240" w:lineRule="auto"/>
        <w:jc w:val="both"/>
        <w:rPr>
          <w:rFonts w:cstheme="minorHAnsi"/>
          <w:bCs/>
          <w:sz w:val="24"/>
          <w:szCs w:val="24"/>
        </w:rPr>
      </w:pPr>
      <w:r>
        <w:rPr>
          <w:rFonts w:cstheme="minorHAnsi"/>
          <w:bCs/>
          <w:sz w:val="24"/>
          <w:szCs w:val="24"/>
        </w:rPr>
        <w:t>Positiivselt mõjub avaliku sektori asutuste hoonete rekonstrueerimine ehitussektorile, kuna nõudlus nende tööde järele kasvab.</w:t>
      </w:r>
    </w:p>
    <w:p w14:paraId="459A5D46" w14:textId="77777777" w:rsidR="00B731C3" w:rsidRPr="004305F2" w:rsidRDefault="00B731C3" w:rsidP="00B731C3">
      <w:pPr>
        <w:spacing w:after="0" w:line="240" w:lineRule="auto"/>
        <w:jc w:val="both"/>
        <w:rPr>
          <w:rFonts w:cstheme="minorHAnsi"/>
          <w:bCs/>
          <w:sz w:val="24"/>
          <w:szCs w:val="24"/>
          <w:u w:val="single"/>
        </w:rPr>
      </w:pPr>
      <w:r w:rsidRPr="004305F2">
        <w:rPr>
          <w:rFonts w:cstheme="minorHAnsi"/>
          <w:bCs/>
          <w:sz w:val="24"/>
          <w:szCs w:val="24"/>
          <w:u w:val="single"/>
        </w:rPr>
        <w:t>Mõju ettevõtetele</w:t>
      </w:r>
    </w:p>
    <w:p w14:paraId="4DF9334D" w14:textId="77777777" w:rsidR="00B731C3" w:rsidRDefault="00B731C3" w:rsidP="00B731C3">
      <w:pPr>
        <w:spacing w:after="0" w:line="240" w:lineRule="auto"/>
        <w:jc w:val="both"/>
        <w:rPr>
          <w:rFonts w:cstheme="minorHAnsi"/>
          <w:bCs/>
          <w:sz w:val="24"/>
          <w:szCs w:val="24"/>
        </w:rPr>
      </w:pPr>
      <w:r>
        <w:rPr>
          <w:rFonts w:cstheme="minorHAnsi"/>
          <w:bCs/>
          <w:sz w:val="24"/>
          <w:szCs w:val="24"/>
        </w:rPr>
        <w:t>Uusi kohustusi ettevõtetele ei tule, vaid olemasolevat nõue laieneb. Kui varem oli energiaauditi kohustus vaid suurettevõtetel (130–150 ettevõtet), siis nüüd suureneb nende ettevõtete arv kuni viis korda (~800 ettevõtteni), sest kohustus hakkab põhineva ettevõtte energiatarbimisel. Ettevõtete elektri ja gaasi tarbimise andmed on paremini kättesaadavad, puudulik on veel info transpordikütuste kohta.</w:t>
      </w:r>
    </w:p>
    <w:p w14:paraId="6C31E7E3" w14:textId="77777777" w:rsidR="00B731C3" w:rsidRDefault="00B731C3" w:rsidP="00B731C3">
      <w:pPr>
        <w:spacing w:after="0" w:line="240" w:lineRule="auto"/>
        <w:jc w:val="both"/>
        <w:rPr>
          <w:rFonts w:cstheme="minorHAnsi"/>
          <w:bCs/>
          <w:sz w:val="24"/>
          <w:szCs w:val="24"/>
        </w:rPr>
      </w:pPr>
      <w:r>
        <w:rPr>
          <w:rFonts w:cstheme="minorHAnsi"/>
          <w:bCs/>
          <w:sz w:val="24"/>
          <w:szCs w:val="24"/>
        </w:rPr>
        <w:t>Tabelis 10 on Elering ASi andmed ettevõtete elektri ja gaasi tarbimise kohta aastal 2024. Kui energiatarbimine on üle 10 TJ, tekib ettevõttel energiaauditi koostamise kohustus, ja kui energiatarbimine on üle 85 TJ, energiajuhtimissüsteemi rakendamise kohustus.</w:t>
      </w:r>
    </w:p>
    <w:p w14:paraId="5199E447" w14:textId="77777777" w:rsidR="00B731C3" w:rsidRDefault="00B731C3" w:rsidP="00B731C3">
      <w:pPr>
        <w:spacing w:after="0" w:line="240" w:lineRule="auto"/>
        <w:jc w:val="both"/>
        <w:rPr>
          <w:rFonts w:cstheme="minorHAnsi"/>
          <w:bCs/>
          <w:sz w:val="24"/>
          <w:szCs w:val="24"/>
        </w:rPr>
      </w:pPr>
    </w:p>
    <w:p w14:paraId="17D75887" w14:textId="77777777" w:rsidR="00B731C3" w:rsidRDefault="00B731C3" w:rsidP="00B731C3">
      <w:pPr>
        <w:spacing w:after="0" w:line="240" w:lineRule="auto"/>
        <w:jc w:val="both"/>
        <w:rPr>
          <w:rFonts w:cstheme="minorHAnsi"/>
          <w:bCs/>
          <w:sz w:val="24"/>
          <w:szCs w:val="24"/>
        </w:rPr>
      </w:pPr>
      <w:r>
        <w:rPr>
          <w:rFonts w:cstheme="minorHAnsi"/>
          <w:bCs/>
          <w:sz w:val="24"/>
          <w:szCs w:val="24"/>
        </w:rPr>
        <w:t>Tabel 15. Elering ASi andmed ettevõtete energiatarbimise kohta</w:t>
      </w:r>
    </w:p>
    <w:tbl>
      <w:tblPr>
        <w:tblStyle w:val="Kontuurtabel"/>
        <w:tblW w:w="0" w:type="auto"/>
        <w:tblLook w:val="04A0" w:firstRow="1" w:lastRow="0" w:firstColumn="1" w:lastColumn="0" w:noHBand="0" w:noVBand="1"/>
      </w:tblPr>
      <w:tblGrid>
        <w:gridCol w:w="4957"/>
        <w:gridCol w:w="2835"/>
      </w:tblGrid>
      <w:tr w:rsidR="00B731C3" w14:paraId="151B366C" w14:textId="77777777" w:rsidTr="00A13E67">
        <w:tc>
          <w:tcPr>
            <w:tcW w:w="4957" w:type="dxa"/>
          </w:tcPr>
          <w:p w14:paraId="3B6BF9A0" w14:textId="77777777" w:rsidR="00B731C3" w:rsidRPr="008957DB" w:rsidRDefault="00B731C3" w:rsidP="00A13E67">
            <w:pPr>
              <w:jc w:val="both"/>
              <w:rPr>
                <w:rFonts w:cstheme="minorHAnsi"/>
                <w:bCs/>
                <w:sz w:val="24"/>
                <w:szCs w:val="24"/>
              </w:rPr>
            </w:pPr>
          </w:p>
        </w:tc>
        <w:tc>
          <w:tcPr>
            <w:tcW w:w="2835" w:type="dxa"/>
          </w:tcPr>
          <w:p w14:paraId="38544D03" w14:textId="77777777" w:rsidR="00B731C3" w:rsidRPr="008957DB" w:rsidRDefault="00B731C3" w:rsidP="00A13E67">
            <w:pPr>
              <w:jc w:val="center"/>
              <w:rPr>
                <w:rFonts w:cstheme="minorHAnsi"/>
                <w:bCs/>
                <w:sz w:val="24"/>
                <w:szCs w:val="24"/>
              </w:rPr>
            </w:pPr>
            <w:r w:rsidRPr="008957DB">
              <w:rPr>
                <w:rFonts w:cstheme="minorHAnsi"/>
                <w:bCs/>
                <w:sz w:val="24"/>
                <w:szCs w:val="24"/>
              </w:rPr>
              <w:t>Ettevõtete arv</w:t>
            </w:r>
          </w:p>
        </w:tc>
      </w:tr>
      <w:tr w:rsidR="00B731C3" w14:paraId="2ECCAF47" w14:textId="77777777" w:rsidTr="00A13E67">
        <w:tc>
          <w:tcPr>
            <w:tcW w:w="4957" w:type="dxa"/>
          </w:tcPr>
          <w:p w14:paraId="500387E7" w14:textId="77777777" w:rsidR="00B731C3" w:rsidRPr="008957DB" w:rsidRDefault="00B731C3" w:rsidP="00A13E67">
            <w:pPr>
              <w:jc w:val="both"/>
              <w:rPr>
                <w:rFonts w:cstheme="minorHAnsi"/>
                <w:bCs/>
                <w:sz w:val="24"/>
                <w:szCs w:val="24"/>
              </w:rPr>
            </w:pPr>
            <w:r w:rsidRPr="009C0CD0">
              <w:rPr>
                <w:rFonts w:eastAsia="Times New Roman" w:cstheme="minorHAnsi"/>
                <w:color w:val="000000" w:themeColor="dark1"/>
                <w:kern w:val="24"/>
                <w:sz w:val="24"/>
                <w:szCs w:val="24"/>
                <w:lang w:eastAsia="et-EE"/>
              </w:rPr>
              <w:t xml:space="preserve">Elektri ja gaasi tarbimine üle </w:t>
            </w:r>
            <w:r w:rsidRPr="008957DB">
              <w:rPr>
                <w:rFonts w:eastAsia="Times New Roman" w:cstheme="minorHAnsi"/>
                <w:color w:val="000000" w:themeColor="dark1"/>
                <w:kern w:val="24"/>
                <w:sz w:val="24"/>
                <w:szCs w:val="24"/>
                <w:lang w:eastAsia="et-EE"/>
              </w:rPr>
              <w:t xml:space="preserve">10 TJ / </w:t>
            </w:r>
            <w:r w:rsidRPr="009C0CD0">
              <w:rPr>
                <w:rFonts w:eastAsia="Times New Roman" w:cstheme="minorHAnsi"/>
                <w:color w:val="000000" w:themeColor="dark1"/>
                <w:kern w:val="24"/>
                <w:sz w:val="24"/>
                <w:szCs w:val="24"/>
                <w:lang w:eastAsia="et-EE"/>
              </w:rPr>
              <w:t>2,77 GWh</w:t>
            </w:r>
          </w:p>
        </w:tc>
        <w:tc>
          <w:tcPr>
            <w:tcW w:w="2835" w:type="dxa"/>
          </w:tcPr>
          <w:p w14:paraId="32818B60" w14:textId="77777777" w:rsidR="00B731C3" w:rsidRPr="008957DB" w:rsidRDefault="00B731C3" w:rsidP="00A13E67">
            <w:pPr>
              <w:jc w:val="center"/>
              <w:rPr>
                <w:rFonts w:cstheme="minorHAnsi"/>
                <w:bCs/>
                <w:sz w:val="24"/>
                <w:szCs w:val="24"/>
              </w:rPr>
            </w:pPr>
            <w:r w:rsidRPr="008957DB">
              <w:rPr>
                <w:rFonts w:cstheme="minorHAnsi"/>
                <w:bCs/>
                <w:sz w:val="24"/>
                <w:szCs w:val="24"/>
              </w:rPr>
              <w:t>418</w:t>
            </w:r>
          </w:p>
        </w:tc>
      </w:tr>
      <w:tr w:rsidR="00B731C3" w14:paraId="5B2CDC97" w14:textId="77777777" w:rsidTr="00A13E67">
        <w:tc>
          <w:tcPr>
            <w:tcW w:w="4957" w:type="dxa"/>
          </w:tcPr>
          <w:p w14:paraId="7D6D029E" w14:textId="77777777" w:rsidR="00B731C3" w:rsidRPr="008957DB" w:rsidRDefault="00B731C3" w:rsidP="00A13E67">
            <w:pPr>
              <w:jc w:val="both"/>
              <w:rPr>
                <w:rFonts w:eastAsia="Times New Roman" w:cstheme="minorHAnsi"/>
                <w:color w:val="000000" w:themeColor="dark1"/>
                <w:kern w:val="24"/>
                <w:sz w:val="24"/>
                <w:szCs w:val="24"/>
                <w:lang w:eastAsia="et-EE"/>
              </w:rPr>
            </w:pPr>
            <w:r w:rsidRPr="009C0CD0">
              <w:rPr>
                <w:rFonts w:eastAsia="Times New Roman" w:cstheme="minorHAnsi"/>
                <w:color w:val="000000" w:themeColor="dark1"/>
                <w:kern w:val="24"/>
                <w:sz w:val="24"/>
                <w:szCs w:val="24"/>
                <w:lang w:eastAsia="et-EE"/>
              </w:rPr>
              <w:t xml:space="preserve">Elektri ja gaasi tarbimine üle </w:t>
            </w:r>
            <w:r w:rsidRPr="008957DB">
              <w:rPr>
                <w:rFonts w:eastAsia="Times New Roman" w:cstheme="minorHAnsi"/>
                <w:color w:val="000000" w:themeColor="dark1"/>
                <w:kern w:val="24"/>
                <w:sz w:val="24"/>
                <w:szCs w:val="24"/>
                <w:lang w:eastAsia="et-EE"/>
              </w:rPr>
              <w:t xml:space="preserve">85 TJ / </w:t>
            </w:r>
            <w:r w:rsidRPr="009C0CD0">
              <w:rPr>
                <w:rFonts w:eastAsia="Times New Roman" w:cstheme="minorHAnsi"/>
                <w:color w:val="000000" w:themeColor="dark1"/>
                <w:kern w:val="24"/>
                <w:sz w:val="24"/>
                <w:szCs w:val="24"/>
                <w:lang w:eastAsia="et-EE"/>
              </w:rPr>
              <w:t>23,6 GWh</w:t>
            </w:r>
          </w:p>
        </w:tc>
        <w:tc>
          <w:tcPr>
            <w:tcW w:w="2835" w:type="dxa"/>
          </w:tcPr>
          <w:p w14:paraId="5A0A60B5" w14:textId="77777777" w:rsidR="00B731C3" w:rsidRPr="008957DB" w:rsidRDefault="00B731C3" w:rsidP="00A13E67">
            <w:pPr>
              <w:jc w:val="center"/>
              <w:rPr>
                <w:rFonts w:cstheme="minorHAnsi"/>
                <w:bCs/>
                <w:sz w:val="24"/>
                <w:szCs w:val="24"/>
              </w:rPr>
            </w:pPr>
            <w:r w:rsidRPr="008957DB">
              <w:rPr>
                <w:rFonts w:cstheme="minorHAnsi"/>
                <w:bCs/>
                <w:sz w:val="24"/>
                <w:szCs w:val="24"/>
              </w:rPr>
              <w:t>51</w:t>
            </w:r>
          </w:p>
        </w:tc>
      </w:tr>
    </w:tbl>
    <w:p w14:paraId="631768B7" w14:textId="77777777" w:rsidR="00B731C3" w:rsidRDefault="00B731C3" w:rsidP="00B731C3">
      <w:pPr>
        <w:spacing w:after="0" w:line="240" w:lineRule="auto"/>
        <w:jc w:val="both"/>
        <w:rPr>
          <w:rFonts w:cstheme="minorHAnsi"/>
          <w:bCs/>
          <w:sz w:val="24"/>
          <w:szCs w:val="24"/>
        </w:rPr>
      </w:pPr>
    </w:p>
    <w:p w14:paraId="141928D9" w14:textId="77777777" w:rsidR="00B731C3" w:rsidRDefault="00B731C3" w:rsidP="00B731C3">
      <w:pPr>
        <w:spacing w:after="0" w:line="240" w:lineRule="auto"/>
        <w:jc w:val="both"/>
        <w:rPr>
          <w:rFonts w:cstheme="minorHAnsi"/>
          <w:bCs/>
          <w:sz w:val="24"/>
          <w:szCs w:val="24"/>
        </w:rPr>
      </w:pPr>
      <w:r>
        <w:rPr>
          <w:rFonts w:cstheme="minorHAnsi"/>
          <w:bCs/>
          <w:sz w:val="24"/>
          <w:szCs w:val="24"/>
        </w:rPr>
        <w:t>Energiaauditi hind on 10 000–15 000 €, nelja aasta peale on see umbkaudu 2500–4000 eurot aastas. Sellele lisandub ettevõtte enda panus ja tööaeg näiteks andmete kogumiseks ja protsesside kirjeldamiseks audiitoritele.</w:t>
      </w:r>
    </w:p>
    <w:p w14:paraId="2440C3AE" w14:textId="77777777" w:rsidR="00B731C3" w:rsidRDefault="00B731C3" w:rsidP="00B731C3">
      <w:pPr>
        <w:spacing w:after="0" w:line="240" w:lineRule="auto"/>
        <w:jc w:val="both"/>
        <w:rPr>
          <w:rFonts w:cstheme="minorHAnsi"/>
          <w:bCs/>
          <w:sz w:val="24"/>
          <w:szCs w:val="24"/>
        </w:rPr>
      </w:pPr>
    </w:p>
    <w:p w14:paraId="639FC28D" w14:textId="77777777" w:rsidR="00B731C3" w:rsidRDefault="00B731C3" w:rsidP="00B731C3">
      <w:pPr>
        <w:spacing w:after="0" w:line="240" w:lineRule="auto"/>
        <w:jc w:val="both"/>
        <w:rPr>
          <w:rFonts w:cstheme="minorHAnsi"/>
          <w:bCs/>
          <w:sz w:val="24"/>
          <w:szCs w:val="24"/>
        </w:rPr>
      </w:pPr>
      <w:r>
        <w:rPr>
          <w:rFonts w:cstheme="minorHAnsi"/>
          <w:bCs/>
          <w:sz w:val="24"/>
          <w:szCs w:val="24"/>
        </w:rPr>
        <w:t>Energiajuhtimissüsteemi rakendamine on ettevõttele keerulisem, sest peamine on iseseisev töö sertifitseerimise ettevalmistamiseks. Sertifitseerimise tasu on enamasti ~1000 € päevas. Väiksematel ettevõtetel võib sertifitseerimine võtta aega kuni kolm päeva, suurematel kuni kümme päeva. Ehk ettevõtte otsene kulu on 3000–10 000 eurot, millele lisandub taastõendamise tasu.</w:t>
      </w:r>
    </w:p>
    <w:p w14:paraId="02F77AFC" w14:textId="77777777" w:rsidR="00B731C3" w:rsidRDefault="00B731C3" w:rsidP="00B731C3">
      <w:pPr>
        <w:spacing w:after="0" w:line="240" w:lineRule="auto"/>
        <w:jc w:val="both"/>
        <w:rPr>
          <w:rFonts w:cstheme="minorHAnsi"/>
          <w:bCs/>
          <w:sz w:val="24"/>
          <w:szCs w:val="24"/>
        </w:rPr>
      </w:pPr>
    </w:p>
    <w:p w14:paraId="6B35CE44" w14:textId="77777777" w:rsidR="00B731C3" w:rsidRPr="00FA6BFB" w:rsidRDefault="00B731C3" w:rsidP="00B731C3">
      <w:pPr>
        <w:spacing w:after="0" w:line="240" w:lineRule="auto"/>
        <w:jc w:val="both"/>
        <w:rPr>
          <w:rFonts w:cstheme="minorHAnsi"/>
          <w:bCs/>
          <w:sz w:val="24"/>
          <w:szCs w:val="24"/>
          <w:u w:val="single"/>
        </w:rPr>
      </w:pPr>
      <w:r w:rsidRPr="00FA6BFB">
        <w:rPr>
          <w:rFonts w:cstheme="minorHAnsi"/>
          <w:bCs/>
          <w:sz w:val="24"/>
          <w:szCs w:val="24"/>
          <w:u w:val="single"/>
        </w:rPr>
        <w:t>Bürokraatia vähendamine ettevõtetele</w:t>
      </w:r>
    </w:p>
    <w:p w14:paraId="0A36F3CE" w14:textId="77777777" w:rsidR="00B731C3" w:rsidRDefault="00B731C3" w:rsidP="00B731C3">
      <w:pPr>
        <w:spacing w:after="0" w:line="240" w:lineRule="auto"/>
        <w:jc w:val="both"/>
        <w:rPr>
          <w:rFonts w:cstheme="minorHAnsi"/>
          <w:bCs/>
          <w:sz w:val="24"/>
          <w:szCs w:val="24"/>
        </w:rPr>
      </w:pPr>
      <w:r>
        <w:rPr>
          <w:rFonts w:cstheme="minorHAnsi"/>
          <w:bCs/>
          <w:sz w:val="24"/>
          <w:szCs w:val="24"/>
        </w:rPr>
        <w:t>Seaduse järgi peavad ettevõtted esitama majandusaasta aruannetes ka tegevuskavad energiaauditite tulemuste põhjal, et suurendada energiatõhusust. Kliimaministeerium teeb koostööd Majandus- ja Kommunikatsiooniministeeriumi reaalaja majanduse valdkonnaga, et tegevuskava täitmine oleks võimalikult automaatne ning lihtne.</w:t>
      </w:r>
    </w:p>
    <w:p w14:paraId="7933DC02" w14:textId="77777777" w:rsidR="00B731C3" w:rsidRDefault="00B731C3" w:rsidP="00B731C3">
      <w:pPr>
        <w:spacing w:after="0" w:line="240" w:lineRule="auto"/>
        <w:jc w:val="both"/>
        <w:rPr>
          <w:rFonts w:cstheme="minorHAnsi"/>
          <w:bCs/>
          <w:sz w:val="24"/>
          <w:szCs w:val="24"/>
        </w:rPr>
      </w:pPr>
      <w:r>
        <w:rPr>
          <w:rFonts w:cstheme="minorHAnsi"/>
          <w:bCs/>
          <w:sz w:val="24"/>
          <w:szCs w:val="24"/>
        </w:rPr>
        <w:lastRenderedPageBreak/>
        <w:t>Energiaaudititest saadav kasu, olgu selleks siis teadlik energiatarbimise jälgimine (mõõdetav) või uued võimalikud investeeringud koos tasuvusaegadega, korvab kohustusest põhjustatud ajakulu.</w:t>
      </w:r>
    </w:p>
    <w:p w14:paraId="558C1F14" w14:textId="77777777" w:rsidR="00B731C3" w:rsidRDefault="00B731C3" w:rsidP="00B731C3">
      <w:pPr>
        <w:spacing w:after="0" w:line="240" w:lineRule="auto"/>
        <w:jc w:val="both"/>
        <w:rPr>
          <w:rFonts w:cstheme="minorHAnsi"/>
          <w:bCs/>
          <w:sz w:val="24"/>
          <w:szCs w:val="24"/>
        </w:rPr>
      </w:pPr>
      <w:r>
        <w:rPr>
          <w:rFonts w:cstheme="minorHAnsi"/>
          <w:bCs/>
          <w:sz w:val="24"/>
          <w:szCs w:val="24"/>
        </w:rPr>
        <w:t>Energiaauditite kasu tuli ettevõtjate esindajate sõnul esile eriti 2022. a energiakriisi ajal, sest olid olemas juba soovitused ja ettepanekud, kuidas energiat kokku hoida.</w:t>
      </w:r>
    </w:p>
    <w:p w14:paraId="7B9120E6" w14:textId="77777777" w:rsidR="00B731C3" w:rsidRDefault="00B731C3" w:rsidP="00B731C3">
      <w:pPr>
        <w:spacing w:after="0" w:line="240" w:lineRule="auto"/>
        <w:jc w:val="both"/>
        <w:rPr>
          <w:rFonts w:cstheme="minorHAnsi"/>
          <w:bCs/>
          <w:sz w:val="24"/>
          <w:szCs w:val="24"/>
        </w:rPr>
      </w:pPr>
    </w:p>
    <w:p w14:paraId="09A80135" w14:textId="77777777" w:rsidR="00B731C3" w:rsidRPr="00704B9D" w:rsidRDefault="00B731C3" w:rsidP="00B731C3">
      <w:pPr>
        <w:spacing w:after="0" w:line="240" w:lineRule="auto"/>
        <w:jc w:val="both"/>
        <w:rPr>
          <w:rFonts w:cstheme="minorHAnsi"/>
          <w:b/>
          <w:sz w:val="24"/>
          <w:szCs w:val="24"/>
        </w:rPr>
      </w:pPr>
      <w:r w:rsidRPr="00704B9D">
        <w:rPr>
          <w:rFonts w:cstheme="minorHAnsi"/>
          <w:b/>
          <w:sz w:val="24"/>
          <w:szCs w:val="24"/>
        </w:rPr>
        <w:t>6.3. Mõju elu ja looduskeskkonnale</w:t>
      </w:r>
    </w:p>
    <w:p w14:paraId="0D43063B" w14:textId="77777777" w:rsidR="00B731C3" w:rsidRPr="00704B9D" w:rsidRDefault="00B731C3" w:rsidP="00B731C3">
      <w:pPr>
        <w:spacing w:after="0" w:line="240" w:lineRule="auto"/>
        <w:jc w:val="both"/>
        <w:rPr>
          <w:rFonts w:cstheme="minorHAnsi"/>
          <w:bCs/>
          <w:sz w:val="24"/>
          <w:szCs w:val="24"/>
        </w:rPr>
      </w:pPr>
      <w:r w:rsidRPr="00704B9D">
        <w:rPr>
          <w:rFonts w:cstheme="minorHAnsi"/>
          <w:bCs/>
          <w:sz w:val="24"/>
          <w:szCs w:val="24"/>
        </w:rPr>
        <w:t xml:space="preserve">Energiatõhususe </w:t>
      </w:r>
      <w:r>
        <w:rPr>
          <w:rFonts w:cstheme="minorHAnsi"/>
          <w:bCs/>
          <w:sz w:val="24"/>
          <w:szCs w:val="24"/>
        </w:rPr>
        <w:t xml:space="preserve">suurendamise </w:t>
      </w:r>
      <w:r w:rsidRPr="00704B9D">
        <w:rPr>
          <w:rFonts w:cstheme="minorHAnsi"/>
          <w:bCs/>
          <w:sz w:val="24"/>
          <w:szCs w:val="24"/>
        </w:rPr>
        <w:t>mõju elu- ja looduskeskkonnale on kaudne</w:t>
      </w:r>
      <w:r>
        <w:rPr>
          <w:rFonts w:cstheme="minorHAnsi"/>
          <w:bCs/>
          <w:sz w:val="24"/>
          <w:szCs w:val="24"/>
        </w:rPr>
        <w:t>,</w:t>
      </w:r>
      <w:r w:rsidRPr="00704B9D">
        <w:rPr>
          <w:rFonts w:cstheme="minorHAnsi"/>
          <w:bCs/>
          <w:sz w:val="24"/>
          <w:szCs w:val="24"/>
        </w:rPr>
        <w:t xml:space="preserve"> kuid positiivne, sest </w:t>
      </w:r>
      <w:r>
        <w:rPr>
          <w:rFonts w:cstheme="minorHAnsi"/>
          <w:bCs/>
          <w:sz w:val="24"/>
          <w:szCs w:val="24"/>
        </w:rPr>
        <w:t>selle kaudu</w:t>
      </w:r>
      <w:r w:rsidRPr="00704B9D">
        <w:rPr>
          <w:rFonts w:cstheme="minorHAnsi"/>
          <w:bCs/>
          <w:sz w:val="24"/>
          <w:szCs w:val="24"/>
        </w:rPr>
        <w:t xml:space="preserve"> </w:t>
      </w:r>
      <w:r>
        <w:rPr>
          <w:rFonts w:cstheme="minorHAnsi"/>
          <w:bCs/>
          <w:sz w:val="24"/>
          <w:szCs w:val="24"/>
        </w:rPr>
        <w:t xml:space="preserve">väheneb kiiremini </w:t>
      </w:r>
      <w:r w:rsidRPr="00704B9D">
        <w:rPr>
          <w:rFonts w:cstheme="minorHAnsi"/>
          <w:bCs/>
          <w:sz w:val="24"/>
          <w:szCs w:val="24"/>
        </w:rPr>
        <w:t xml:space="preserve">fossiilkütuste </w:t>
      </w:r>
      <w:r>
        <w:rPr>
          <w:rFonts w:cstheme="minorHAnsi"/>
          <w:bCs/>
          <w:sz w:val="24"/>
          <w:szCs w:val="24"/>
        </w:rPr>
        <w:t>kasutamine, samuti</w:t>
      </w:r>
      <w:r w:rsidRPr="00704B9D">
        <w:rPr>
          <w:rFonts w:cstheme="minorHAnsi"/>
          <w:bCs/>
          <w:sz w:val="24"/>
          <w:szCs w:val="24"/>
        </w:rPr>
        <w:t xml:space="preserve"> vähen</w:t>
      </w:r>
      <w:r>
        <w:rPr>
          <w:rFonts w:cstheme="minorHAnsi"/>
          <w:bCs/>
          <w:sz w:val="24"/>
          <w:szCs w:val="24"/>
        </w:rPr>
        <w:t>eb</w:t>
      </w:r>
      <w:r w:rsidRPr="00704B9D">
        <w:rPr>
          <w:rFonts w:cstheme="minorHAnsi"/>
          <w:bCs/>
          <w:sz w:val="24"/>
          <w:szCs w:val="24"/>
        </w:rPr>
        <w:t xml:space="preserve"> kasvuhoonegaas</w:t>
      </w:r>
      <w:r>
        <w:rPr>
          <w:rFonts w:cstheme="minorHAnsi"/>
          <w:bCs/>
          <w:sz w:val="24"/>
          <w:szCs w:val="24"/>
        </w:rPr>
        <w:t>ide heide. Kõik see aitab</w:t>
      </w:r>
      <w:r w:rsidRPr="00704B9D">
        <w:rPr>
          <w:rFonts w:cstheme="minorHAnsi"/>
          <w:bCs/>
          <w:sz w:val="24"/>
          <w:szCs w:val="24"/>
        </w:rPr>
        <w:t xml:space="preserve"> täita kliimaeesmärke.</w:t>
      </w:r>
    </w:p>
    <w:p w14:paraId="5F52ACD8" w14:textId="77777777" w:rsidR="00B731C3" w:rsidRPr="00704B9D" w:rsidRDefault="00B731C3" w:rsidP="00B731C3">
      <w:pPr>
        <w:spacing w:after="0" w:line="240" w:lineRule="auto"/>
        <w:jc w:val="both"/>
        <w:rPr>
          <w:rFonts w:cstheme="minorHAnsi"/>
          <w:bCs/>
          <w:sz w:val="24"/>
          <w:szCs w:val="24"/>
        </w:rPr>
      </w:pPr>
    </w:p>
    <w:p w14:paraId="01BDC924" w14:textId="77777777" w:rsidR="00B731C3" w:rsidRPr="00704B9D" w:rsidRDefault="00B731C3" w:rsidP="00B731C3">
      <w:pPr>
        <w:spacing w:after="0" w:line="240" w:lineRule="auto"/>
        <w:jc w:val="both"/>
        <w:rPr>
          <w:rFonts w:cstheme="minorHAnsi"/>
          <w:b/>
          <w:sz w:val="24"/>
          <w:szCs w:val="24"/>
        </w:rPr>
      </w:pPr>
      <w:r w:rsidRPr="00704B9D">
        <w:rPr>
          <w:rFonts w:cstheme="minorHAnsi"/>
          <w:b/>
          <w:sz w:val="24"/>
          <w:szCs w:val="24"/>
        </w:rPr>
        <w:t>6.4. Mõju regionaalarengule</w:t>
      </w:r>
    </w:p>
    <w:p w14:paraId="68DA286B" w14:textId="77777777" w:rsidR="00B731C3" w:rsidRDefault="00B731C3" w:rsidP="00B731C3">
      <w:pPr>
        <w:spacing w:after="0" w:line="240" w:lineRule="auto"/>
        <w:jc w:val="both"/>
        <w:rPr>
          <w:rFonts w:cstheme="minorHAnsi"/>
          <w:bCs/>
          <w:sz w:val="24"/>
          <w:szCs w:val="24"/>
        </w:rPr>
      </w:pPr>
      <w:r>
        <w:rPr>
          <w:rFonts w:cstheme="minorHAnsi"/>
          <w:bCs/>
          <w:sz w:val="24"/>
          <w:szCs w:val="24"/>
        </w:rPr>
        <w:t>Seaduse rakendamine</w:t>
      </w:r>
      <w:r w:rsidRPr="00704B9D">
        <w:rPr>
          <w:rFonts w:cstheme="minorHAnsi"/>
          <w:bCs/>
          <w:sz w:val="24"/>
          <w:szCs w:val="24"/>
        </w:rPr>
        <w:t xml:space="preserve"> mõ</w:t>
      </w:r>
      <w:r>
        <w:rPr>
          <w:rFonts w:cstheme="minorHAnsi"/>
          <w:bCs/>
          <w:sz w:val="24"/>
          <w:szCs w:val="24"/>
        </w:rPr>
        <w:t xml:space="preserve">jutab regionaalarengut </w:t>
      </w:r>
      <w:r w:rsidRPr="00704B9D">
        <w:rPr>
          <w:rFonts w:cstheme="minorHAnsi"/>
          <w:bCs/>
          <w:sz w:val="24"/>
          <w:szCs w:val="24"/>
        </w:rPr>
        <w:t>avaliku sektori asutuste kohustust</w:t>
      </w:r>
      <w:r>
        <w:rPr>
          <w:rFonts w:cstheme="minorHAnsi"/>
          <w:bCs/>
          <w:sz w:val="24"/>
          <w:szCs w:val="24"/>
        </w:rPr>
        <w:t>e, hoonete renoveerimise ja haavatavate gruppide tähelepanu pööramise kaudu</w:t>
      </w:r>
      <w:r w:rsidRPr="00704B9D">
        <w:rPr>
          <w:rFonts w:cstheme="minorHAnsi"/>
          <w:bCs/>
          <w:sz w:val="24"/>
          <w:szCs w:val="24"/>
        </w:rPr>
        <w:t>.</w:t>
      </w:r>
    </w:p>
    <w:p w14:paraId="144D6F83" w14:textId="77777777" w:rsidR="00B731C3" w:rsidRDefault="00B731C3" w:rsidP="00B731C3">
      <w:pPr>
        <w:spacing w:after="0" w:line="240" w:lineRule="auto"/>
        <w:jc w:val="both"/>
        <w:rPr>
          <w:rFonts w:cstheme="minorHAnsi"/>
          <w:bCs/>
          <w:sz w:val="24"/>
          <w:szCs w:val="24"/>
        </w:rPr>
      </w:pPr>
      <w:r>
        <w:rPr>
          <w:rFonts w:cstheme="minorHAnsi"/>
          <w:bCs/>
          <w:sz w:val="24"/>
          <w:szCs w:val="24"/>
        </w:rPr>
        <w:t>Väiksematele kohalike omavalitustele rakendub ü</w:t>
      </w:r>
      <w:r w:rsidRPr="00704B9D">
        <w:rPr>
          <w:rFonts w:cstheme="minorHAnsi"/>
          <w:bCs/>
          <w:sz w:val="24"/>
          <w:szCs w:val="24"/>
        </w:rPr>
        <w:t>ldine energiasäästu kohustu</w:t>
      </w:r>
      <w:r>
        <w:rPr>
          <w:rFonts w:cstheme="minorHAnsi"/>
          <w:bCs/>
          <w:sz w:val="24"/>
          <w:szCs w:val="24"/>
        </w:rPr>
        <w:t xml:space="preserve">s </w:t>
      </w:r>
      <w:r w:rsidRPr="00704B9D">
        <w:rPr>
          <w:rFonts w:cstheme="minorHAnsi"/>
          <w:bCs/>
          <w:sz w:val="24"/>
          <w:szCs w:val="24"/>
        </w:rPr>
        <w:t>alles 2027 või 2030 (elanike arvu</w:t>
      </w:r>
      <w:r>
        <w:rPr>
          <w:rFonts w:cstheme="minorHAnsi"/>
          <w:bCs/>
          <w:sz w:val="24"/>
          <w:szCs w:val="24"/>
        </w:rPr>
        <w:t xml:space="preserve"> järgi</w:t>
      </w:r>
      <w:r w:rsidRPr="00704B9D">
        <w:rPr>
          <w:rFonts w:cstheme="minorHAnsi"/>
          <w:bCs/>
          <w:sz w:val="24"/>
          <w:szCs w:val="24"/>
        </w:rPr>
        <w:t>)</w:t>
      </w:r>
      <w:r>
        <w:rPr>
          <w:rFonts w:cstheme="minorHAnsi"/>
          <w:bCs/>
          <w:sz w:val="24"/>
          <w:szCs w:val="24"/>
        </w:rPr>
        <w:t>. Hoonete rekonstrueerimise eesmärgid rakenduvad kõigile alates 2025. aasta sügisest.</w:t>
      </w:r>
    </w:p>
    <w:p w14:paraId="79BBA883" w14:textId="77777777" w:rsidR="00B731C3" w:rsidRDefault="00B731C3" w:rsidP="00B731C3">
      <w:pPr>
        <w:spacing w:after="0" w:line="240" w:lineRule="auto"/>
        <w:jc w:val="both"/>
        <w:rPr>
          <w:rFonts w:cstheme="minorHAnsi"/>
          <w:bCs/>
          <w:sz w:val="24"/>
          <w:szCs w:val="24"/>
        </w:rPr>
      </w:pPr>
      <w:r>
        <w:rPr>
          <w:rFonts w:cstheme="minorHAnsi"/>
          <w:bCs/>
          <w:sz w:val="24"/>
          <w:szCs w:val="24"/>
        </w:rPr>
        <w:t>Uued ja korda tehtud hooned (nii elamud kui ka mitteelamud)  muudavad elukeskkonna ilusamaks, mõjutades ka sel viisil kohalikku elu.</w:t>
      </w:r>
    </w:p>
    <w:p w14:paraId="2F3CA513" w14:textId="77777777" w:rsidR="00B731C3" w:rsidRDefault="00B731C3" w:rsidP="00B731C3">
      <w:pPr>
        <w:spacing w:after="0" w:line="240" w:lineRule="auto"/>
        <w:jc w:val="both"/>
        <w:rPr>
          <w:rFonts w:cstheme="minorHAnsi"/>
          <w:bCs/>
          <w:sz w:val="24"/>
          <w:szCs w:val="24"/>
        </w:rPr>
      </w:pPr>
    </w:p>
    <w:p w14:paraId="44958A91" w14:textId="77777777" w:rsidR="00B731C3" w:rsidRPr="002C6BAF" w:rsidRDefault="00B731C3" w:rsidP="00B731C3">
      <w:pPr>
        <w:spacing w:after="0" w:line="240" w:lineRule="auto"/>
        <w:jc w:val="both"/>
        <w:rPr>
          <w:rFonts w:cstheme="minorHAnsi"/>
          <w:b/>
          <w:sz w:val="24"/>
          <w:szCs w:val="24"/>
        </w:rPr>
      </w:pPr>
      <w:r w:rsidRPr="002C6BAF">
        <w:rPr>
          <w:rFonts w:cstheme="minorHAnsi"/>
          <w:b/>
          <w:sz w:val="24"/>
          <w:szCs w:val="24"/>
        </w:rPr>
        <w:t xml:space="preserve">6.5. Mõju riigiasutuste ja kohaliku omavalitsuse korraldusele </w:t>
      </w:r>
    </w:p>
    <w:p w14:paraId="37F1AD26" w14:textId="77777777" w:rsidR="00B731C3" w:rsidRPr="00BD4C4E" w:rsidRDefault="00B731C3" w:rsidP="00B731C3">
      <w:pPr>
        <w:spacing w:after="0" w:line="240" w:lineRule="auto"/>
        <w:jc w:val="both"/>
        <w:rPr>
          <w:rFonts w:cstheme="minorHAnsi"/>
          <w:bCs/>
          <w:sz w:val="24"/>
          <w:szCs w:val="24"/>
        </w:rPr>
      </w:pPr>
      <w:r>
        <w:rPr>
          <w:rFonts w:cstheme="minorHAnsi"/>
          <w:bCs/>
          <w:sz w:val="24"/>
          <w:szCs w:val="24"/>
        </w:rPr>
        <w:t>N</w:t>
      </w:r>
      <w:r w:rsidRPr="00BD4C4E">
        <w:rPr>
          <w:rFonts w:cstheme="minorHAnsi"/>
          <w:bCs/>
          <w:sz w:val="24"/>
          <w:szCs w:val="24"/>
        </w:rPr>
        <w:t>ii üldi</w:t>
      </w:r>
      <w:r>
        <w:rPr>
          <w:rFonts w:cstheme="minorHAnsi"/>
          <w:bCs/>
          <w:sz w:val="24"/>
          <w:szCs w:val="24"/>
        </w:rPr>
        <w:t>s</w:t>
      </w:r>
      <w:r w:rsidRPr="00BD4C4E">
        <w:rPr>
          <w:rFonts w:cstheme="minorHAnsi"/>
          <w:bCs/>
          <w:sz w:val="24"/>
          <w:szCs w:val="24"/>
        </w:rPr>
        <w:t>e energiatõhususe kohustus</w:t>
      </w:r>
      <w:r>
        <w:rPr>
          <w:rFonts w:cstheme="minorHAnsi"/>
          <w:bCs/>
          <w:sz w:val="24"/>
          <w:szCs w:val="24"/>
        </w:rPr>
        <w:t>e</w:t>
      </w:r>
      <w:r w:rsidRPr="00BD4C4E">
        <w:rPr>
          <w:rFonts w:cstheme="minorHAnsi"/>
          <w:bCs/>
          <w:sz w:val="24"/>
          <w:szCs w:val="24"/>
        </w:rPr>
        <w:t xml:space="preserve"> kui ka hoonete rekonstrueerimise kohustus</w:t>
      </w:r>
      <w:r>
        <w:rPr>
          <w:rFonts w:cstheme="minorHAnsi"/>
          <w:bCs/>
          <w:sz w:val="24"/>
          <w:szCs w:val="24"/>
        </w:rPr>
        <w:t>e rakendumine avaldab suurt mõju avaliku sektori asutustele.</w:t>
      </w:r>
    </w:p>
    <w:p w14:paraId="4D8C67CA" w14:textId="77777777" w:rsidR="00B731C3" w:rsidRPr="00BD4C4E" w:rsidRDefault="00B731C3" w:rsidP="00B731C3">
      <w:pPr>
        <w:spacing w:after="0" w:line="240" w:lineRule="auto"/>
        <w:jc w:val="both"/>
        <w:rPr>
          <w:rFonts w:cstheme="minorHAnsi"/>
          <w:bCs/>
          <w:sz w:val="24"/>
          <w:szCs w:val="24"/>
        </w:rPr>
      </w:pPr>
      <w:r w:rsidRPr="00BD4C4E">
        <w:rPr>
          <w:rFonts w:cstheme="minorHAnsi"/>
          <w:bCs/>
          <w:sz w:val="24"/>
          <w:szCs w:val="24"/>
        </w:rPr>
        <w:t>Avaliku sektori asutus</w:t>
      </w:r>
      <w:r>
        <w:rPr>
          <w:rFonts w:cstheme="minorHAnsi"/>
          <w:bCs/>
          <w:sz w:val="24"/>
          <w:szCs w:val="24"/>
        </w:rPr>
        <w:t>i käsitatakse seaduses samamoodi nagu</w:t>
      </w:r>
      <w:r w:rsidRPr="00BD4C4E">
        <w:rPr>
          <w:rFonts w:cstheme="minorHAnsi"/>
          <w:bCs/>
          <w:sz w:val="24"/>
          <w:szCs w:val="24"/>
        </w:rPr>
        <w:t xml:space="preserve"> riigieelarve seaduse §</w:t>
      </w:r>
      <w:r>
        <w:rPr>
          <w:rFonts w:cstheme="minorHAnsi"/>
          <w:bCs/>
          <w:sz w:val="24"/>
          <w:szCs w:val="24"/>
        </w:rPr>
        <w:t>-s</w:t>
      </w:r>
      <w:r w:rsidRPr="00BD4C4E">
        <w:rPr>
          <w:rFonts w:cstheme="minorHAnsi"/>
          <w:bCs/>
          <w:sz w:val="24"/>
          <w:szCs w:val="24"/>
        </w:rPr>
        <w:t xml:space="preserve"> 2</w:t>
      </w:r>
      <w:r>
        <w:rPr>
          <w:rFonts w:cstheme="minorHAnsi"/>
          <w:bCs/>
          <w:sz w:val="24"/>
          <w:szCs w:val="24"/>
        </w:rPr>
        <w:t>.</w:t>
      </w:r>
      <w:r w:rsidRPr="00BD4C4E">
        <w:rPr>
          <w:rFonts w:cstheme="minorHAnsi"/>
          <w:bCs/>
          <w:sz w:val="24"/>
          <w:szCs w:val="24"/>
        </w:rPr>
        <w:t xml:space="preserve"> Statistikaameti </w:t>
      </w:r>
      <w:r>
        <w:rPr>
          <w:rFonts w:cstheme="minorHAnsi"/>
          <w:bCs/>
          <w:sz w:val="24"/>
          <w:szCs w:val="24"/>
        </w:rPr>
        <w:t>andmeil on selliseid asutusi</w:t>
      </w:r>
      <w:r w:rsidRPr="00BD4C4E">
        <w:rPr>
          <w:rFonts w:cstheme="minorHAnsi"/>
          <w:bCs/>
          <w:sz w:val="24"/>
          <w:szCs w:val="24"/>
        </w:rPr>
        <w:t xml:space="preserve"> </w:t>
      </w:r>
      <w:r>
        <w:rPr>
          <w:rFonts w:cstheme="minorHAnsi"/>
          <w:bCs/>
          <w:sz w:val="24"/>
          <w:szCs w:val="24"/>
        </w:rPr>
        <w:t>(</w:t>
      </w:r>
      <w:r w:rsidRPr="00BD4C4E">
        <w:rPr>
          <w:rFonts w:cstheme="minorHAnsi"/>
          <w:bCs/>
          <w:sz w:val="24"/>
          <w:szCs w:val="24"/>
        </w:rPr>
        <w:t>seisuga 01.04.2024</w:t>
      </w:r>
      <w:r>
        <w:rPr>
          <w:rFonts w:cstheme="minorHAnsi"/>
          <w:bCs/>
          <w:sz w:val="24"/>
          <w:szCs w:val="24"/>
        </w:rPr>
        <w:t>)</w:t>
      </w:r>
      <w:r w:rsidRPr="00BD4C4E">
        <w:rPr>
          <w:rFonts w:cstheme="minorHAnsi"/>
          <w:bCs/>
          <w:sz w:val="24"/>
          <w:szCs w:val="24"/>
        </w:rPr>
        <w:t xml:space="preserve"> 2234</w:t>
      </w:r>
      <w:r>
        <w:rPr>
          <w:rFonts w:cstheme="minorHAnsi"/>
          <w:bCs/>
          <w:sz w:val="24"/>
          <w:szCs w:val="24"/>
        </w:rPr>
        <w:t>., n</w:t>
      </w:r>
      <w:r w:rsidRPr="00BD4C4E">
        <w:rPr>
          <w:rFonts w:cstheme="minorHAnsi"/>
          <w:bCs/>
          <w:sz w:val="24"/>
          <w:szCs w:val="24"/>
        </w:rPr>
        <w:t>eist keskvalitsuse</w:t>
      </w:r>
      <w:r>
        <w:rPr>
          <w:rFonts w:cstheme="minorHAnsi"/>
          <w:bCs/>
          <w:sz w:val="24"/>
          <w:szCs w:val="24"/>
        </w:rPr>
        <w:t>s</w:t>
      </w:r>
      <w:r w:rsidRPr="00BD4C4E">
        <w:rPr>
          <w:rFonts w:cstheme="minorHAnsi"/>
          <w:bCs/>
          <w:sz w:val="24"/>
          <w:szCs w:val="24"/>
        </w:rPr>
        <w:t xml:space="preserve"> 296 asutust, kohaliku omavalituste </w:t>
      </w:r>
      <w:r>
        <w:rPr>
          <w:rFonts w:cstheme="minorHAnsi"/>
          <w:bCs/>
          <w:sz w:val="24"/>
          <w:szCs w:val="24"/>
        </w:rPr>
        <w:t>omi</w:t>
      </w:r>
      <w:r w:rsidRPr="00BD4C4E">
        <w:rPr>
          <w:rFonts w:cstheme="minorHAnsi"/>
          <w:bCs/>
          <w:sz w:val="24"/>
          <w:szCs w:val="24"/>
        </w:rPr>
        <w:t xml:space="preserve"> 1941 </w:t>
      </w:r>
      <w:r>
        <w:rPr>
          <w:rFonts w:cstheme="minorHAnsi"/>
          <w:bCs/>
          <w:sz w:val="24"/>
          <w:szCs w:val="24"/>
        </w:rPr>
        <w:t>ning</w:t>
      </w:r>
      <w:r w:rsidRPr="00BD4C4E">
        <w:rPr>
          <w:rFonts w:cstheme="minorHAnsi"/>
          <w:bCs/>
          <w:sz w:val="24"/>
          <w:szCs w:val="24"/>
        </w:rPr>
        <w:t xml:space="preserve"> riiklike sotsiaalkindlustusfonde on </w:t>
      </w:r>
      <w:r>
        <w:rPr>
          <w:rFonts w:cstheme="minorHAnsi"/>
          <w:bCs/>
          <w:sz w:val="24"/>
          <w:szCs w:val="24"/>
        </w:rPr>
        <w:t>kaks</w:t>
      </w:r>
      <w:r w:rsidRPr="00BD4C4E">
        <w:rPr>
          <w:rFonts w:cstheme="minorHAnsi"/>
          <w:bCs/>
          <w:sz w:val="24"/>
          <w:szCs w:val="24"/>
        </w:rPr>
        <w:t>.</w:t>
      </w:r>
    </w:p>
    <w:p w14:paraId="1E769A2F" w14:textId="77777777" w:rsidR="00B731C3" w:rsidRPr="00BD4C4E" w:rsidRDefault="00B731C3" w:rsidP="00B731C3">
      <w:pPr>
        <w:spacing w:after="0" w:line="240" w:lineRule="auto"/>
        <w:jc w:val="both"/>
        <w:rPr>
          <w:rFonts w:cstheme="minorHAnsi"/>
          <w:bCs/>
          <w:sz w:val="24"/>
          <w:szCs w:val="24"/>
        </w:rPr>
      </w:pPr>
      <w:r w:rsidRPr="00BD4C4E">
        <w:rPr>
          <w:rFonts w:cstheme="minorHAnsi"/>
          <w:bCs/>
          <w:sz w:val="24"/>
          <w:szCs w:val="24"/>
        </w:rPr>
        <w:t>Keskvalitsuse alla kuuluvad järgmised asutused: teatrid, ministeeriumid ja nende allasutused, riigigümnaasiumid, haiglate sihtasutused, muuseumide sihtasutused, ülikoolid ja kutsekoolid, jt.</w:t>
      </w:r>
    </w:p>
    <w:p w14:paraId="4705C2D5" w14:textId="77777777" w:rsidR="00B731C3" w:rsidRDefault="00B731C3" w:rsidP="00B731C3">
      <w:pPr>
        <w:pStyle w:val="muudetavtekst"/>
        <w:rPr>
          <w:rFonts w:asciiTheme="minorHAnsi" w:hAnsiTheme="minorHAnsi" w:cstheme="minorBidi"/>
        </w:rPr>
      </w:pPr>
      <w:r w:rsidRPr="39E7E879">
        <w:rPr>
          <w:rFonts w:asciiTheme="minorHAnsi" w:hAnsiTheme="minorHAnsi" w:cstheme="minorBidi"/>
        </w:rPr>
        <w:t>Kohalike omavalitus</w:t>
      </w:r>
      <w:r>
        <w:rPr>
          <w:rFonts w:asciiTheme="minorHAnsi" w:hAnsiTheme="minorHAnsi" w:cstheme="minorBidi"/>
        </w:rPr>
        <w:t xml:space="preserve">te all on järgmised asutused: </w:t>
      </w:r>
      <w:r w:rsidRPr="43B83759">
        <w:rPr>
          <w:rFonts w:asciiTheme="minorHAnsi" w:hAnsiTheme="minorHAnsi" w:cstheme="minorBidi"/>
        </w:rPr>
        <w:t>koolid</w:t>
      </w:r>
      <w:r w:rsidRPr="39E7E879">
        <w:rPr>
          <w:rFonts w:asciiTheme="minorHAnsi" w:hAnsiTheme="minorHAnsi" w:cstheme="minorBidi"/>
        </w:rPr>
        <w:t xml:space="preserve">, </w:t>
      </w:r>
      <w:r w:rsidRPr="166F0105">
        <w:rPr>
          <w:rFonts w:asciiTheme="minorHAnsi" w:hAnsiTheme="minorHAnsi" w:cstheme="minorBidi"/>
        </w:rPr>
        <w:t>raamatukogud</w:t>
      </w:r>
      <w:r w:rsidRPr="39E7E879">
        <w:rPr>
          <w:rFonts w:asciiTheme="minorHAnsi" w:hAnsiTheme="minorHAnsi" w:cstheme="minorBidi"/>
        </w:rPr>
        <w:t xml:space="preserve">, </w:t>
      </w:r>
      <w:r w:rsidRPr="3C74A242">
        <w:rPr>
          <w:rFonts w:asciiTheme="minorHAnsi" w:hAnsiTheme="minorHAnsi" w:cstheme="minorBidi"/>
        </w:rPr>
        <w:t>lasteaiad</w:t>
      </w:r>
      <w:r>
        <w:rPr>
          <w:rFonts w:asciiTheme="minorHAnsi" w:hAnsiTheme="minorHAnsi" w:cstheme="minorBidi"/>
        </w:rPr>
        <w:t xml:space="preserve">, kommunaalettevõtted, hooldekodud, </w:t>
      </w:r>
      <w:r w:rsidRPr="39E7E879">
        <w:rPr>
          <w:rFonts w:asciiTheme="minorHAnsi" w:hAnsiTheme="minorHAnsi" w:cstheme="minorBidi"/>
        </w:rPr>
        <w:t xml:space="preserve">omavalitusliidud jt, mistõttu on nende </w:t>
      </w:r>
      <w:r w:rsidRPr="72A6EB69">
        <w:rPr>
          <w:rFonts w:asciiTheme="minorHAnsi" w:hAnsiTheme="minorHAnsi" w:cstheme="minorBidi"/>
        </w:rPr>
        <w:t>kogu</w:t>
      </w:r>
      <w:r w:rsidRPr="39E7E879">
        <w:rPr>
          <w:rFonts w:asciiTheme="minorHAnsi" w:hAnsiTheme="minorHAnsi" w:cstheme="minorBidi"/>
        </w:rPr>
        <w:t>arv</w:t>
      </w:r>
      <w:r w:rsidRPr="15A3060F">
        <w:rPr>
          <w:rFonts w:asciiTheme="minorHAnsi" w:hAnsiTheme="minorHAnsi" w:cstheme="minorBidi"/>
        </w:rPr>
        <w:t>,</w:t>
      </w:r>
      <w:r w:rsidRPr="69F97D06">
        <w:rPr>
          <w:rFonts w:asciiTheme="minorHAnsi" w:hAnsiTheme="minorHAnsi" w:cstheme="minorBidi"/>
        </w:rPr>
        <w:t xml:space="preserve"> millele </w:t>
      </w:r>
      <w:r w:rsidRPr="4715E918">
        <w:rPr>
          <w:rFonts w:asciiTheme="minorHAnsi" w:hAnsiTheme="minorHAnsi" w:cstheme="minorBidi"/>
        </w:rPr>
        <w:t>kohustu</w:t>
      </w:r>
      <w:r>
        <w:rPr>
          <w:rFonts w:asciiTheme="minorHAnsi" w:hAnsiTheme="minorHAnsi" w:cstheme="minorBidi"/>
        </w:rPr>
        <w:t>s</w:t>
      </w:r>
      <w:r w:rsidRPr="4715E918">
        <w:rPr>
          <w:rFonts w:asciiTheme="minorHAnsi" w:hAnsiTheme="minorHAnsi" w:cstheme="minorBidi"/>
        </w:rPr>
        <w:t xml:space="preserve"> rakendub</w:t>
      </w:r>
      <w:r w:rsidRPr="769BDCD6">
        <w:rPr>
          <w:rFonts w:asciiTheme="minorHAnsi" w:hAnsiTheme="minorHAnsi" w:cstheme="minorBidi"/>
        </w:rPr>
        <w:t>,</w:t>
      </w:r>
      <w:r w:rsidRPr="4715E918">
        <w:rPr>
          <w:rFonts w:asciiTheme="minorHAnsi" w:hAnsiTheme="minorHAnsi" w:cstheme="minorBidi"/>
        </w:rPr>
        <w:t xml:space="preserve"> </w:t>
      </w:r>
      <w:r w:rsidRPr="543006C3">
        <w:rPr>
          <w:rFonts w:asciiTheme="minorHAnsi" w:hAnsiTheme="minorHAnsi" w:cstheme="minorBidi"/>
        </w:rPr>
        <w:t xml:space="preserve">keskvalitsusega võrreldes </w:t>
      </w:r>
      <w:r w:rsidRPr="2F1ED823">
        <w:rPr>
          <w:rFonts w:asciiTheme="minorHAnsi" w:hAnsiTheme="minorHAnsi" w:cstheme="minorBidi"/>
        </w:rPr>
        <w:t>suurem</w:t>
      </w:r>
      <w:r w:rsidRPr="39E7E879">
        <w:rPr>
          <w:rFonts w:asciiTheme="minorHAnsi" w:hAnsiTheme="minorHAnsi" w:cstheme="minorBidi"/>
        </w:rPr>
        <w:t>.</w:t>
      </w:r>
    </w:p>
    <w:p w14:paraId="43104357" w14:textId="77777777" w:rsidR="00B731C3" w:rsidRDefault="00B731C3" w:rsidP="00B731C3">
      <w:pPr>
        <w:pStyle w:val="muudetavtekst"/>
        <w:rPr>
          <w:rFonts w:asciiTheme="minorHAnsi" w:hAnsiTheme="minorHAnsi" w:cstheme="minorBidi"/>
        </w:rPr>
      </w:pPr>
      <w:r w:rsidRPr="3C577724">
        <w:rPr>
          <w:rFonts w:asciiTheme="minorHAnsi" w:hAnsiTheme="minorHAnsi" w:cstheme="minorBidi"/>
        </w:rPr>
        <w:t>Riiklikud sotsiaalkindlustusfondid</w:t>
      </w:r>
      <w:r>
        <w:rPr>
          <w:rFonts w:asciiTheme="minorHAnsi" w:hAnsiTheme="minorHAnsi" w:cstheme="minorBidi"/>
        </w:rPr>
        <w:t xml:space="preserve"> on</w:t>
      </w:r>
      <w:r w:rsidRPr="3C577724">
        <w:rPr>
          <w:rFonts w:asciiTheme="minorHAnsi" w:hAnsiTheme="minorHAnsi" w:cstheme="minorBidi"/>
        </w:rPr>
        <w:t xml:space="preserve"> Eesti Töötukassa ja Tervisekassa</w:t>
      </w:r>
      <w:r>
        <w:rPr>
          <w:rFonts w:asciiTheme="minorHAnsi" w:hAnsiTheme="minorHAnsi" w:cstheme="minorBidi"/>
        </w:rPr>
        <w:t>.</w:t>
      </w:r>
    </w:p>
    <w:p w14:paraId="61F431E7" w14:textId="77777777" w:rsidR="00B731C3" w:rsidRDefault="00B731C3" w:rsidP="00B731C3">
      <w:pPr>
        <w:pStyle w:val="muudetavtekst"/>
        <w:rPr>
          <w:rFonts w:asciiTheme="minorHAnsi" w:hAnsiTheme="minorHAnsi" w:cstheme="minorBidi"/>
        </w:rPr>
      </w:pPr>
    </w:p>
    <w:p w14:paraId="702B47D4" w14:textId="77777777" w:rsidR="00B731C3" w:rsidRPr="002E21AF" w:rsidRDefault="00B731C3" w:rsidP="00B731C3">
      <w:pPr>
        <w:pStyle w:val="muudetavtekst"/>
        <w:rPr>
          <w:rFonts w:asciiTheme="minorHAnsi" w:hAnsiTheme="minorHAnsi" w:cstheme="minorBidi"/>
        </w:rPr>
      </w:pPr>
      <w:r>
        <w:rPr>
          <w:rFonts w:asciiTheme="minorHAnsi" w:hAnsiTheme="minorHAnsi" w:cstheme="minorBidi"/>
        </w:rPr>
        <w:t>Avaliku sekotri asutustele tekib üldine energiasäästu kohustus 1,9% igal aastal 2021. aasta tarbimisest. Tabeli (lk 8) kohaselt oli avaliku sektori kogu energiatarve 2021. aastal u ~1600 GWh (välja on jäetud ühistransport ja relvajõud), kuid kuna kohustus rakendub kohalikele omavalitustele erinevalt elanike arvu järgi, siis aastaks 2030 peab avalik sektor kokku hoidma ~ 40 GWh/a. Kuidas energiasäästu kohustus rakendub, on esitatud joonisel 2.</w:t>
      </w:r>
    </w:p>
    <w:p w14:paraId="476F72D9" w14:textId="77777777" w:rsidR="00B731C3" w:rsidRDefault="00B731C3" w:rsidP="00B731C3">
      <w:pPr>
        <w:pStyle w:val="muudetavtekst"/>
        <w:rPr>
          <w:rFonts w:asciiTheme="minorHAnsi" w:hAnsiTheme="minorHAnsi" w:cstheme="minorBidi"/>
        </w:rPr>
      </w:pPr>
    </w:p>
    <w:p w14:paraId="1995B8CA" w14:textId="77777777" w:rsidR="00B731C3" w:rsidRDefault="00B731C3" w:rsidP="00B731C3">
      <w:pPr>
        <w:pStyle w:val="muudetavtekst"/>
        <w:rPr>
          <w:rFonts w:asciiTheme="minorHAnsi" w:hAnsiTheme="minorHAnsi" w:cstheme="minorBidi"/>
        </w:rPr>
      </w:pPr>
      <w:r>
        <w:rPr>
          <w:rFonts w:asciiTheme="minorHAnsi" w:hAnsiTheme="minorHAnsi" w:cstheme="minorBidi"/>
        </w:rPr>
        <w:t>Avaliku sektori asutuste hoonetele tekib 3% rekonstrueerimise nõue 01.01.2024 nende hoonete üldpõrandapinnast, mis olid selle päeva seisuga üle 250 m</w:t>
      </w:r>
      <w:r>
        <w:rPr>
          <w:rFonts w:asciiTheme="minorHAnsi" w:hAnsiTheme="minorHAnsi" w:cstheme="minorBidi"/>
          <w:vertAlign w:val="superscript"/>
        </w:rPr>
        <w:t>2</w:t>
      </w:r>
      <w:r>
        <w:rPr>
          <w:rFonts w:asciiTheme="minorHAnsi" w:hAnsiTheme="minorHAnsi" w:cstheme="minorBidi"/>
        </w:rPr>
        <w:t>, kus oli tagatud sisekliima ning mille energiaklass oli kehvem kui C. Eelnõu joonise 3 järgi oli avaliku sektori omandis ~6 550 000 m</w:t>
      </w:r>
      <w:r>
        <w:rPr>
          <w:rFonts w:asciiTheme="minorHAnsi" w:hAnsiTheme="minorHAnsi" w:cstheme="minorBidi"/>
          <w:vertAlign w:val="superscript"/>
        </w:rPr>
        <w:t>2</w:t>
      </w:r>
      <w:r>
        <w:rPr>
          <w:rFonts w:asciiTheme="minorHAnsi" w:hAnsiTheme="minorHAnsi" w:cstheme="minorBidi"/>
        </w:rPr>
        <w:t>, millest 3% on 197 000 m</w:t>
      </w:r>
      <w:r>
        <w:rPr>
          <w:rFonts w:asciiTheme="minorHAnsi" w:hAnsiTheme="minorHAnsi" w:cstheme="minorBidi"/>
          <w:vertAlign w:val="superscript"/>
        </w:rPr>
        <w:t>2</w:t>
      </w:r>
      <w:r>
        <w:rPr>
          <w:rFonts w:asciiTheme="minorHAnsi" w:hAnsiTheme="minorHAnsi" w:cstheme="minorBidi"/>
        </w:rPr>
        <w:t>.</w:t>
      </w:r>
    </w:p>
    <w:p w14:paraId="1FDEDB93" w14:textId="77777777" w:rsidR="00B731C3" w:rsidRDefault="00B731C3" w:rsidP="00B731C3">
      <w:pPr>
        <w:pStyle w:val="muudetavtekst"/>
        <w:rPr>
          <w:rFonts w:asciiTheme="minorHAnsi" w:hAnsiTheme="minorHAnsi" w:cstheme="minorBidi"/>
        </w:rPr>
      </w:pPr>
    </w:p>
    <w:p w14:paraId="439A671A" w14:textId="77777777" w:rsidR="00B731C3" w:rsidRDefault="00B731C3" w:rsidP="00B731C3">
      <w:pPr>
        <w:pStyle w:val="muudetavtekst"/>
        <w:rPr>
          <w:rFonts w:asciiTheme="minorHAnsi" w:hAnsiTheme="minorHAnsi" w:cstheme="minorBidi"/>
        </w:rPr>
      </w:pPr>
      <w:r>
        <w:rPr>
          <w:rFonts w:asciiTheme="minorHAnsi" w:hAnsiTheme="minorHAnsi" w:cstheme="minorBidi"/>
        </w:rPr>
        <w:t>Teiste liikmesriikide kogemused on näidanud, et teadlik energiatarbimise jälgimine ühtsetel alustel säästab juba igal aastal kuni 5%.</w:t>
      </w:r>
    </w:p>
    <w:p w14:paraId="15721BFA" w14:textId="77777777" w:rsidR="00B731C3" w:rsidRDefault="00B731C3" w:rsidP="00B731C3">
      <w:pPr>
        <w:pStyle w:val="muudetavtekst"/>
        <w:rPr>
          <w:rFonts w:asciiTheme="minorHAnsi" w:hAnsiTheme="minorHAnsi" w:cstheme="minorBidi"/>
        </w:rPr>
      </w:pPr>
    </w:p>
    <w:p w14:paraId="55A7FCE4" w14:textId="77777777" w:rsidR="00B731C3" w:rsidRDefault="00B731C3" w:rsidP="00B731C3">
      <w:pPr>
        <w:pStyle w:val="muudetavtekst"/>
        <w:rPr>
          <w:rFonts w:asciiTheme="minorHAnsi" w:hAnsiTheme="minorHAnsi" w:cstheme="minorBidi"/>
        </w:rPr>
      </w:pPr>
      <w:r>
        <w:rPr>
          <w:rFonts w:asciiTheme="minorHAnsi" w:hAnsiTheme="minorHAnsi" w:cstheme="minorBidi"/>
        </w:rPr>
        <w:t xml:space="preserve">Avaliku sektori asutuste käes on erinevaid hooneid (koolid, kontorihooned, korterelamud, haiglad, muuseumid jt), mistõttu ei saa rekonstrueerimise maksumust lihtsalt hinnata. Kui </w:t>
      </w:r>
      <w:r>
        <w:rPr>
          <w:rFonts w:asciiTheme="minorHAnsi" w:hAnsiTheme="minorHAnsi" w:cstheme="minorBidi"/>
        </w:rPr>
        <w:lastRenderedPageBreak/>
        <w:t>üldiselt võttes on rekonstrueeritava ruutmeetri maksumuseks 1500–2000 eurot, on renoveerimiskulu avaliku sektori asutustele hinnanguliselt kokku 295,5–394 miljonit eurot aastas. See on suur ülesanne, sest näiteks toetusmeetmeid</w:t>
      </w:r>
      <w:r>
        <w:rPr>
          <w:rStyle w:val="Allmrkuseviide"/>
          <w:rFonts w:asciiTheme="minorHAnsi" w:hAnsiTheme="minorHAnsi" w:cstheme="minorBidi"/>
        </w:rPr>
        <w:footnoteReference w:id="74"/>
      </w:r>
      <w:r>
        <w:rPr>
          <w:rFonts w:asciiTheme="minorHAnsi" w:hAnsiTheme="minorHAnsi" w:cstheme="minorBidi"/>
        </w:rPr>
        <w:t xml:space="preserve"> kohalike omavalitusetele anti 2025. aasta kevadel 70 miljonit eurot.</w:t>
      </w:r>
    </w:p>
    <w:p w14:paraId="289DA413" w14:textId="77777777" w:rsidR="00B731C3" w:rsidRDefault="00B731C3" w:rsidP="00B731C3">
      <w:pPr>
        <w:pStyle w:val="muudetavtekst"/>
        <w:rPr>
          <w:rFonts w:asciiTheme="minorHAnsi" w:hAnsiTheme="minorHAnsi" w:cstheme="minorBidi"/>
        </w:rPr>
      </w:pPr>
    </w:p>
    <w:p w14:paraId="42AC404C" w14:textId="77777777" w:rsidR="00B731C3" w:rsidRPr="00425491" w:rsidRDefault="00B731C3" w:rsidP="00B731C3">
      <w:pPr>
        <w:pStyle w:val="muudetavtekst"/>
        <w:rPr>
          <w:rFonts w:asciiTheme="minorHAnsi" w:hAnsiTheme="minorHAnsi" w:cstheme="minorBidi"/>
          <w:u w:val="single"/>
        </w:rPr>
      </w:pPr>
      <w:r w:rsidRPr="00425491">
        <w:rPr>
          <w:rFonts w:asciiTheme="minorHAnsi" w:hAnsiTheme="minorHAnsi" w:cstheme="minorBidi"/>
          <w:u w:val="single"/>
        </w:rPr>
        <w:t>Keskvalitsu</w:t>
      </w:r>
      <w:r>
        <w:rPr>
          <w:rFonts w:asciiTheme="minorHAnsi" w:hAnsiTheme="minorHAnsi" w:cstheme="minorBidi"/>
          <w:u w:val="single"/>
        </w:rPr>
        <w:t>s</w:t>
      </w:r>
    </w:p>
    <w:p w14:paraId="652B83D1" w14:textId="77777777" w:rsidR="00B731C3" w:rsidRDefault="00B731C3" w:rsidP="00B731C3">
      <w:pPr>
        <w:pStyle w:val="muudetavtekst"/>
        <w:rPr>
          <w:rFonts w:asciiTheme="minorHAnsi" w:hAnsiTheme="minorHAnsi" w:cstheme="minorBidi"/>
        </w:rPr>
      </w:pPr>
      <w:r>
        <w:rPr>
          <w:rFonts w:asciiTheme="minorHAnsi" w:hAnsiTheme="minorHAnsi" w:cstheme="minorBidi"/>
        </w:rPr>
        <w:t xml:space="preserve">Seni on </w:t>
      </w:r>
      <w:r w:rsidRPr="00425491">
        <w:rPr>
          <w:rFonts w:asciiTheme="minorHAnsi" w:hAnsiTheme="minorHAnsi" w:cstheme="minorBidi"/>
        </w:rPr>
        <w:t xml:space="preserve">olnud </w:t>
      </w:r>
      <w:r>
        <w:rPr>
          <w:rFonts w:asciiTheme="minorHAnsi" w:hAnsiTheme="minorHAnsi" w:cstheme="minorBidi"/>
        </w:rPr>
        <w:t xml:space="preserve">hoonete (v.a haiglad ja ülikoolid) </w:t>
      </w:r>
      <w:r w:rsidRPr="00425491">
        <w:rPr>
          <w:rFonts w:asciiTheme="minorHAnsi" w:hAnsiTheme="minorHAnsi" w:cstheme="minorBidi"/>
        </w:rPr>
        <w:t>rekonstrueerimise kohustus</w:t>
      </w:r>
      <w:r>
        <w:rPr>
          <w:rFonts w:asciiTheme="minorHAnsi" w:hAnsiTheme="minorHAnsi" w:cstheme="minorBidi"/>
        </w:rPr>
        <w:t xml:space="preserve"> keskvalitsusel. Eelkõige rekonstrueeriti seni ministeeriumite ja nende allasutuste omandis olevaid hooneid.</w:t>
      </w:r>
    </w:p>
    <w:p w14:paraId="516CCB75" w14:textId="77777777" w:rsidR="00B731C3" w:rsidRDefault="00B731C3" w:rsidP="00B731C3">
      <w:pPr>
        <w:pStyle w:val="muudetavtekst"/>
        <w:rPr>
          <w:rFonts w:asciiTheme="minorHAnsi" w:hAnsiTheme="minorHAnsi" w:cstheme="minorBidi"/>
        </w:rPr>
      </w:pPr>
      <w:r>
        <w:rPr>
          <w:rFonts w:asciiTheme="minorHAnsi" w:hAnsiTheme="minorHAnsi" w:cstheme="minorBidi"/>
        </w:rPr>
        <w:t>Kuna direktiiv teeb üleminekusätted ainult kohaliku omavalitsustele, siis ülejäänud avaliku sektori hooned kuuluvad keskvalitsuse alla.</w:t>
      </w:r>
    </w:p>
    <w:p w14:paraId="55C61BDF" w14:textId="77777777" w:rsidR="00B731C3" w:rsidRPr="00425491" w:rsidRDefault="00B731C3" w:rsidP="00B731C3">
      <w:pPr>
        <w:pStyle w:val="muudetavtekst"/>
        <w:rPr>
          <w:rFonts w:asciiTheme="minorHAnsi" w:hAnsiTheme="minorHAnsi" w:cstheme="minorBidi"/>
        </w:rPr>
      </w:pPr>
      <w:r w:rsidRPr="00425491">
        <w:rPr>
          <w:rFonts w:asciiTheme="minorHAnsi" w:hAnsiTheme="minorHAnsi" w:cstheme="minorBidi"/>
        </w:rPr>
        <w:t>Keskvalit</w:t>
      </w:r>
      <w:r>
        <w:rPr>
          <w:rFonts w:asciiTheme="minorHAnsi" w:hAnsiTheme="minorHAnsi" w:cstheme="minorBidi"/>
        </w:rPr>
        <w:t>s</w:t>
      </w:r>
      <w:r w:rsidRPr="00425491">
        <w:rPr>
          <w:rFonts w:asciiTheme="minorHAnsi" w:hAnsiTheme="minorHAnsi" w:cstheme="minorBidi"/>
        </w:rPr>
        <w:t xml:space="preserve">use </w:t>
      </w:r>
      <w:r>
        <w:rPr>
          <w:rFonts w:asciiTheme="minorHAnsi" w:hAnsiTheme="minorHAnsi" w:cstheme="minorBidi"/>
        </w:rPr>
        <w:t xml:space="preserve">(sh haiglad ja ülikoolid) </w:t>
      </w:r>
      <w:r w:rsidRPr="00425491">
        <w:rPr>
          <w:rFonts w:asciiTheme="minorHAnsi" w:hAnsiTheme="minorHAnsi" w:cstheme="minorBidi"/>
        </w:rPr>
        <w:t xml:space="preserve">energiatarve </w:t>
      </w:r>
      <w:r>
        <w:rPr>
          <w:rFonts w:asciiTheme="minorHAnsi" w:hAnsiTheme="minorHAnsi" w:cstheme="minorBidi"/>
        </w:rPr>
        <w:t xml:space="preserve">oli 2021. aastal </w:t>
      </w:r>
      <w:r w:rsidRPr="00425491">
        <w:rPr>
          <w:rFonts w:asciiTheme="minorHAnsi" w:hAnsiTheme="minorHAnsi" w:cstheme="minorBidi"/>
        </w:rPr>
        <w:t>u 1003 GWh, millest 93% on hoone</w:t>
      </w:r>
      <w:r>
        <w:rPr>
          <w:rFonts w:asciiTheme="minorHAnsi" w:hAnsiTheme="minorHAnsi" w:cstheme="minorBidi"/>
        </w:rPr>
        <w:t>test</w:t>
      </w:r>
      <w:r w:rsidRPr="00425491">
        <w:rPr>
          <w:rFonts w:asciiTheme="minorHAnsi" w:hAnsiTheme="minorHAnsi" w:cstheme="minorBidi"/>
        </w:rPr>
        <w:t>, 1% rajatis</w:t>
      </w:r>
      <w:r>
        <w:rPr>
          <w:rFonts w:asciiTheme="minorHAnsi" w:hAnsiTheme="minorHAnsi" w:cstheme="minorBidi"/>
        </w:rPr>
        <w:t>test</w:t>
      </w:r>
      <w:r w:rsidRPr="00425491">
        <w:rPr>
          <w:rFonts w:asciiTheme="minorHAnsi" w:hAnsiTheme="minorHAnsi" w:cstheme="minorBidi"/>
        </w:rPr>
        <w:t xml:space="preserve"> (nt tänavavalgustus riigiteedel) ja 5% transpordi</w:t>
      </w:r>
      <w:r>
        <w:rPr>
          <w:rFonts w:asciiTheme="minorHAnsi" w:hAnsiTheme="minorHAnsi" w:cstheme="minorBidi"/>
        </w:rPr>
        <w:t xml:space="preserve">st (tabel 8). </w:t>
      </w:r>
      <w:r w:rsidRPr="00425491">
        <w:rPr>
          <w:rFonts w:asciiTheme="minorHAnsi" w:hAnsiTheme="minorHAnsi" w:cstheme="minorBidi"/>
        </w:rPr>
        <w:t xml:space="preserve">Seega </w:t>
      </w:r>
      <w:r>
        <w:rPr>
          <w:rFonts w:asciiTheme="minorHAnsi" w:hAnsiTheme="minorHAnsi" w:cstheme="minorBidi"/>
        </w:rPr>
        <w:t xml:space="preserve">tuleb </w:t>
      </w:r>
      <w:r w:rsidRPr="00425491">
        <w:rPr>
          <w:rFonts w:asciiTheme="minorHAnsi" w:hAnsiTheme="minorHAnsi" w:cstheme="minorBidi"/>
        </w:rPr>
        <w:t>energiasäästu</w:t>
      </w:r>
      <w:r>
        <w:rPr>
          <w:rFonts w:asciiTheme="minorHAnsi" w:hAnsiTheme="minorHAnsi" w:cstheme="minorBidi"/>
        </w:rPr>
        <w:t xml:space="preserve"> saavutamiseks hoolikamalt jälgida energia kasutust </w:t>
      </w:r>
      <w:r w:rsidRPr="00425491">
        <w:rPr>
          <w:rFonts w:asciiTheme="minorHAnsi" w:hAnsiTheme="minorHAnsi" w:cstheme="minorBidi"/>
        </w:rPr>
        <w:t>hoonete</w:t>
      </w:r>
      <w:r>
        <w:rPr>
          <w:rFonts w:asciiTheme="minorHAnsi" w:hAnsiTheme="minorHAnsi" w:cstheme="minorBidi"/>
        </w:rPr>
        <w:t>s</w:t>
      </w:r>
      <w:r w:rsidRPr="00425491">
        <w:rPr>
          <w:rFonts w:asciiTheme="minorHAnsi" w:hAnsiTheme="minorHAnsi" w:cstheme="minorBidi"/>
        </w:rPr>
        <w:t xml:space="preserve">, jälgida tehnosüsteemide tööd ja </w:t>
      </w:r>
      <w:r>
        <w:rPr>
          <w:rFonts w:asciiTheme="minorHAnsi" w:hAnsiTheme="minorHAnsi" w:cstheme="minorBidi"/>
        </w:rPr>
        <w:t xml:space="preserve">rekonstrueerida </w:t>
      </w:r>
      <w:r w:rsidRPr="00425491">
        <w:rPr>
          <w:rFonts w:asciiTheme="minorHAnsi" w:hAnsiTheme="minorHAnsi" w:cstheme="minorBidi"/>
        </w:rPr>
        <w:t>hoone</w:t>
      </w:r>
      <w:r>
        <w:rPr>
          <w:rFonts w:asciiTheme="minorHAnsi" w:hAnsiTheme="minorHAnsi" w:cstheme="minorBidi"/>
        </w:rPr>
        <w:t>d.</w:t>
      </w:r>
    </w:p>
    <w:p w14:paraId="2C282815" w14:textId="77777777" w:rsidR="00B731C3" w:rsidRDefault="00B731C3" w:rsidP="00B731C3">
      <w:pPr>
        <w:pStyle w:val="muudetavtekst"/>
        <w:rPr>
          <w:rFonts w:asciiTheme="minorHAnsi" w:hAnsiTheme="minorHAnsi" w:cstheme="minorBidi"/>
        </w:rPr>
      </w:pPr>
      <w:r>
        <w:rPr>
          <w:rFonts w:asciiTheme="minorHAnsi" w:hAnsiTheme="minorHAnsi" w:cstheme="minorBidi"/>
        </w:rPr>
        <w:t>Keskvalitsusele omandis oli (tabel 3) 790 hoonet (17% hoonetest), kasulikku üldpinda 2 062 505 m</w:t>
      </w:r>
      <w:r>
        <w:rPr>
          <w:rFonts w:asciiTheme="minorHAnsi" w:hAnsiTheme="minorHAnsi" w:cstheme="minorBidi"/>
          <w:vertAlign w:val="superscript"/>
        </w:rPr>
        <w:t>2</w:t>
      </w:r>
      <w:r>
        <w:rPr>
          <w:rFonts w:asciiTheme="minorHAnsi" w:hAnsiTheme="minorHAnsi" w:cstheme="minorBidi"/>
        </w:rPr>
        <w:t xml:space="preserve"> (20% üldpinnast).</w:t>
      </w:r>
    </w:p>
    <w:p w14:paraId="1B9680F4" w14:textId="77777777" w:rsidR="00B731C3" w:rsidRDefault="00B731C3" w:rsidP="00B731C3">
      <w:pPr>
        <w:pStyle w:val="muudetavtekst"/>
        <w:rPr>
          <w:rFonts w:asciiTheme="minorHAnsi" w:hAnsiTheme="minorHAnsi" w:cstheme="minorBidi"/>
        </w:rPr>
      </w:pPr>
      <w:r>
        <w:rPr>
          <w:rFonts w:asciiTheme="minorHAnsi" w:hAnsiTheme="minorHAnsi" w:cstheme="minorBidi"/>
        </w:rPr>
        <w:t>Keskvalitsuse kinnisvara koordinaatori rolli täidab juba praegu Rahandusministeerium, mistõttu me ei näe nende töökoormuse suurenemist uute nõuete tõttu.</w:t>
      </w:r>
    </w:p>
    <w:p w14:paraId="77DDC384" w14:textId="77777777" w:rsidR="00B731C3" w:rsidRDefault="00B731C3" w:rsidP="00B731C3">
      <w:pPr>
        <w:pStyle w:val="muudetavtekst"/>
        <w:rPr>
          <w:rFonts w:asciiTheme="minorHAnsi" w:hAnsiTheme="minorHAnsi" w:cstheme="minorBidi"/>
        </w:rPr>
      </w:pPr>
      <w:r>
        <w:rPr>
          <w:rFonts w:asciiTheme="minorHAnsi" w:hAnsiTheme="minorHAnsi" w:cstheme="minorBidi"/>
        </w:rPr>
        <w:t>Üldise avaliku sektori asutuste energiatõhususe koordinaatori rolli täidab TTJA.</w:t>
      </w:r>
    </w:p>
    <w:p w14:paraId="11A2859C" w14:textId="77777777" w:rsidR="00B731C3" w:rsidRDefault="00B731C3" w:rsidP="00B731C3">
      <w:pPr>
        <w:pStyle w:val="muudetavtekst"/>
        <w:rPr>
          <w:rFonts w:asciiTheme="minorHAnsi" w:hAnsiTheme="minorHAnsi" w:cstheme="minorBidi"/>
        </w:rPr>
      </w:pPr>
    </w:p>
    <w:p w14:paraId="22EC5F75" w14:textId="77777777" w:rsidR="00B731C3" w:rsidRDefault="00B731C3" w:rsidP="00B731C3">
      <w:pPr>
        <w:pStyle w:val="muudetavtekst"/>
        <w:rPr>
          <w:rFonts w:asciiTheme="minorHAnsi" w:hAnsiTheme="minorHAnsi" w:cstheme="minorBidi"/>
          <w:u w:val="single"/>
        </w:rPr>
      </w:pPr>
      <w:r w:rsidRPr="00B47D53">
        <w:rPr>
          <w:rFonts w:asciiTheme="minorHAnsi" w:hAnsiTheme="minorHAnsi" w:cstheme="minorBidi"/>
          <w:u w:val="single"/>
        </w:rPr>
        <w:t xml:space="preserve">Ülikoolid ja haiglad </w:t>
      </w:r>
    </w:p>
    <w:p w14:paraId="6116BE4E" w14:textId="77777777" w:rsidR="00B731C3" w:rsidRDefault="00B731C3" w:rsidP="00B731C3">
      <w:pPr>
        <w:pStyle w:val="muudetavtekst"/>
        <w:rPr>
          <w:rFonts w:asciiTheme="minorHAnsi" w:hAnsiTheme="minorHAnsi" w:cstheme="minorBidi"/>
        </w:rPr>
      </w:pPr>
      <w:r w:rsidRPr="00104857">
        <w:rPr>
          <w:rFonts w:asciiTheme="minorHAnsi" w:hAnsiTheme="minorHAnsi" w:cstheme="minorBidi"/>
        </w:rPr>
        <w:t xml:space="preserve">Ülikoolidele ja haiglatele ei ole seni </w:t>
      </w:r>
      <w:r>
        <w:rPr>
          <w:rFonts w:asciiTheme="minorHAnsi" w:hAnsiTheme="minorHAnsi" w:cstheme="minorBidi"/>
        </w:rPr>
        <w:t xml:space="preserve">selliseid </w:t>
      </w:r>
      <w:r w:rsidRPr="00104857">
        <w:rPr>
          <w:rFonts w:asciiTheme="minorHAnsi" w:hAnsiTheme="minorHAnsi" w:cstheme="minorBidi"/>
        </w:rPr>
        <w:t xml:space="preserve">kohustusi </w:t>
      </w:r>
      <w:r>
        <w:rPr>
          <w:rFonts w:asciiTheme="minorHAnsi" w:hAnsiTheme="minorHAnsi" w:cstheme="minorBidi"/>
        </w:rPr>
        <w:t>seatud</w:t>
      </w:r>
      <w:r w:rsidRPr="00104857">
        <w:rPr>
          <w:rFonts w:asciiTheme="minorHAnsi" w:hAnsiTheme="minorHAnsi" w:cstheme="minorBidi"/>
        </w:rPr>
        <w:t xml:space="preserve">. </w:t>
      </w:r>
      <w:r>
        <w:rPr>
          <w:rFonts w:asciiTheme="minorHAnsi" w:hAnsiTheme="minorHAnsi" w:cstheme="minorBidi"/>
        </w:rPr>
        <w:t>Nende hoonete tegelikku mõju on keeruline hinnata, sest paljudel puudub energiamärgis. Seetõttu on need arvatud nende hoonete hulka, mis vajavad rekonstrueerimist.</w:t>
      </w:r>
    </w:p>
    <w:p w14:paraId="408F9605" w14:textId="77777777" w:rsidR="00B731C3" w:rsidRDefault="00B731C3" w:rsidP="00B731C3">
      <w:pPr>
        <w:pStyle w:val="muudetavtekst"/>
        <w:rPr>
          <w:rFonts w:asciiTheme="minorHAnsi" w:hAnsiTheme="minorHAnsi" w:cstheme="minorBidi"/>
        </w:rPr>
      </w:pPr>
      <w:r>
        <w:rPr>
          <w:rFonts w:asciiTheme="minorHAnsi" w:hAnsiTheme="minorHAnsi" w:cstheme="minorBidi"/>
        </w:rPr>
        <w:t>Tallinna linnale kuuluvatele haiglatele, nagu Ida-Tallinna keskhaigla ja Lääne-Tallinna keskhaigla, kehtiks justkui kohalikule omavalitusele lubatud erand, kuid kuna Tallinnas on elanikke üle 50 000 elaniku, siis tegelikult erandit ei ole.</w:t>
      </w:r>
    </w:p>
    <w:p w14:paraId="5F7B15EE" w14:textId="77777777" w:rsidR="00B731C3" w:rsidRDefault="00B731C3" w:rsidP="00B731C3">
      <w:pPr>
        <w:pStyle w:val="muudetavtekst"/>
        <w:rPr>
          <w:rFonts w:asciiTheme="minorHAnsi" w:hAnsiTheme="minorHAnsi" w:cstheme="minorBidi"/>
        </w:rPr>
      </w:pPr>
      <w:r>
        <w:rPr>
          <w:rFonts w:asciiTheme="minorHAnsi" w:hAnsiTheme="minorHAnsi" w:cstheme="minorBidi"/>
        </w:rPr>
        <w:t>Ülikoolidel on 139 hoonet kasulikku üldpõrandapinnaga 709 284 m</w:t>
      </w:r>
      <w:r>
        <w:rPr>
          <w:rFonts w:asciiTheme="minorHAnsi" w:hAnsiTheme="minorHAnsi" w:cstheme="minorBidi"/>
          <w:vertAlign w:val="superscript"/>
        </w:rPr>
        <w:t>2</w:t>
      </w:r>
      <w:r>
        <w:rPr>
          <w:rFonts w:asciiTheme="minorHAnsi" w:hAnsiTheme="minorHAnsi" w:cstheme="minorBidi"/>
        </w:rPr>
        <w:t>. Haiglatel on 95 hoonet kasuliku üldpõrandapinnaga 491 932 m</w:t>
      </w:r>
      <w:r>
        <w:rPr>
          <w:rFonts w:asciiTheme="minorHAnsi" w:hAnsiTheme="minorHAnsi" w:cstheme="minorBidi"/>
          <w:vertAlign w:val="superscript"/>
        </w:rPr>
        <w:t>2</w:t>
      </w:r>
      <w:r>
        <w:rPr>
          <w:rFonts w:asciiTheme="minorHAnsi" w:hAnsiTheme="minorHAnsi" w:cstheme="minorBidi"/>
        </w:rPr>
        <w:t>. Mõlemad valdkonnad moodustavad kogu hoonete hulgast 2%, aga põrandapinnast 8%. (Tabel 3)</w:t>
      </w:r>
    </w:p>
    <w:p w14:paraId="10053CAE" w14:textId="77777777" w:rsidR="00B731C3" w:rsidRDefault="00B731C3" w:rsidP="00B731C3">
      <w:pPr>
        <w:pStyle w:val="muudetavtekst"/>
        <w:rPr>
          <w:rFonts w:asciiTheme="minorHAnsi" w:hAnsiTheme="minorHAnsi" w:cstheme="minorBidi"/>
        </w:rPr>
      </w:pPr>
      <w:r>
        <w:rPr>
          <w:rFonts w:asciiTheme="minorHAnsi" w:hAnsiTheme="minorHAnsi" w:cstheme="minorBidi"/>
        </w:rPr>
        <w:t>Need hooned on väga olulised energiatõhususe eesmärkide saavutamiseks, kuid kas nende puhul on majanduslikult ja tehniliselt mõistlik pingutada energiatõhususe miinimumnõuete täitmise nimel, tuleb iga hoone puhul analüüsida eraldi.</w:t>
      </w:r>
    </w:p>
    <w:p w14:paraId="33F5A44C" w14:textId="77777777" w:rsidR="00B731C3" w:rsidRDefault="00B731C3" w:rsidP="00B731C3">
      <w:pPr>
        <w:pStyle w:val="muudetavtekst"/>
        <w:rPr>
          <w:rFonts w:asciiTheme="minorHAnsi" w:hAnsiTheme="minorHAnsi" w:cstheme="minorBidi"/>
        </w:rPr>
      </w:pPr>
    </w:p>
    <w:p w14:paraId="71ACBD37" w14:textId="77777777" w:rsidR="00B731C3" w:rsidRDefault="00B731C3" w:rsidP="00B731C3">
      <w:pPr>
        <w:pStyle w:val="muudetavtekst"/>
        <w:rPr>
          <w:rFonts w:asciiTheme="minorHAnsi" w:hAnsiTheme="minorHAnsi" w:cstheme="minorBidi"/>
          <w:u w:val="single"/>
        </w:rPr>
      </w:pPr>
      <w:r w:rsidRPr="00BD4C4E">
        <w:rPr>
          <w:rFonts w:asciiTheme="minorHAnsi" w:hAnsiTheme="minorHAnsi" w:cstheme="minorBidi"/>
          <w:u w:val="single"/>
        </w:rPr>
        <w:t>Kohalikud omavalitused</w:t>
      </w:r>
    </w:p>
    <w:p w14:paraId="0AE3DD5F" w14:textId="77777777" w:rsidR="00B731C3" w:rsidRDefault="00B731C3" w:rsidP="00B731C3">
      <w:pPr>
        <w:pStyle w:val="muudetavtekst"/>
        <w:rPr>
          <w:rFonts w:asciiTheme="minorHAnsi" w:hAnsiTheme="minorHAnsi" w:cstheme="minorBidi"/>
        </w:rPr>
      </w:pPr>
      <w:r w:rsidRPr="00025F1D">
        <w:rPr>
          <w:rFonts w:asciiTheme="minorHAnsi" w:hAnsiTheme="minorHAnsi" w:cstheme="minorBidi"/>
        </w:rPr>
        <w:t>Avaliku sektori asutusi on kõige rohkem kohalike omavalitsustel</w:t>
      </w:r>
      <w:r>
        <w:rPr>
          <w:rFonts w:asciiTheme="minorHAnsi" w:hAnsiTheme="minorHAnsi" w:cstheme="minorBidi"/>
        </w:rPr>
        <w:t>, mis teeb keeruliseks nii üldise energiasäästu eesmärgi saavutamise kui ka hoonete rekonstrueerimise 3% saavutamise. Kohalike omavalituste energiatarbimine 2021. aasta oli kokku ~1200 GWh, millest 86% kulus hoonete energiatarbe katmiseks, 13% rajatistele (nt tänavavalgustus) ja vaid 1% omavalitsuste muule transpordile kui ühistransport.</w:t>
      </w:r>
    </w:p>
    <w:p w14:paraId="62B038B0" w14:textId="77777777" w:rsidR="00B731C3" w:rsidRDefault="00B731C3" w:rsidP="00B731C3">
      <w:pPr>
        <w:pStyle w:val="muudetavtekst"/>
        <w:rPr>
          <w:rFonts w:asciiTheme="minorHAnsi" w:hAnsiTheme="minorHAnsi" w:cstheme="minorBidi"/>
        </w:rPr>
      </w:pPr>
      <w:r>
        <w:rPr>
          <w:rFonts w:asciiTheme="minorHAnsi" w:hAnsiTheme="minorHAnsi" w:cstheme="minorBidi"/>
        </w:rPr>
        <w:t>Avaliku sektori asutuste hoonetest moodustavad kohalike omavalituste omandis olevad hooned 79% hoonete arvust (3722) ja 64% kasulikust üldpõrandapinnast (5 773 769 m</w:t>
      </w:r>
      <w:r>
        <w:rPr>
          <w:rFonts w:asciiTheme="minorHAnsi" w:hAnsiTheme="minorHAnsi" w:cstheme="minorBidi"/>
          <w:vertAlign w:val="superscript"/>
        </w:rPr>
        <w:t>2</w:t>
      </w:r>
      <w:r>
        <w:rPr>
          <w:rFonts w:asciiTheme="minorHAnsi" w:hAnsiTheme="minorHAnsi" w:cstheme="minorBidi"/>
        </w:rPr>
        <w:t>).</w:t>
      </w:r>
    </w:p>
    <w:p w14:paraId="1D7B941A" w14:textId="77777777" w:rsidR="00B731C3" w:rsidRDefault="00B731C3" w:rsidP="00B731C3">
      <w:pPr>
        <w:pStyle w:val="muudetavtekst"/>
        <w:rPr>
          <w:rFonts w:asciiTheme="minorHAnsi" w:hAnsiTheme="minorHAnsi" w:cstheme="minorBidi"/>
        </w:rPr>
      </w:pPr>
      <w:r>
        <w:rPr>
          <w:rFonts w:asciiTheme="minorHAnsi" w:hAnsiTheme="minorHAnsi" w:cstheme="minorBidi"/>
        </w:rPr>
        <w:t>Riigi tugi kohalikele omavalitustele on siin väga oluline, seda nii toetusmeetmetega kui ka hoonete või tänavavalgustuse rekonstrueerimisel.</w:t>
      </w:r>
    </w:p>
    <w:p w14:paraId="28ED6CF5" w14:textId="77777777" w:rsidR="00B731C3" w:rsidRDefault="00B731C3" w:rsidP="00B731C3">
      <w:pPr>
        <w:pStyle w:val="muudetavtekst"/>
        <w:rPr>
          <w:rFonts w:asciiTheme="minorHAnsi" w:hAnsiTheme="minorHAnsi" w:cstheme="minorBidi"/>
        </w:rPr>
      </w:pPr>
      <w:r>
        <w:rPr>
          <w:rFonts w:asciiTheme="minorHAnsi" w:hAnsiTheme="minorHAnsi" w:cstheme="minorBidi"/>
        </w:rPr>
        <w:t xml:space="preserve">Halduskoormus kohalikel omavalitusustel oluliselt ei suurene, kui riik käivitab omalt poolt tööriistad energiatõhususe seireks. </w:t>
      </w:r>
    </w:p>
    <w:p w14:paraId="3779BFBB" w14:textId="77777777" w:rsidR="00B731C3" w:rsidRDefault="00B731C3" w:rsidP="00B731C3">
      <w:pPr>
        <w:pStyle w:val="muudetavtekst"/>
        <w:rPr>
          <w:rFonts w:asciiTheme="minorHAnsi" w:hAnsiTheme="minorHAnsi" w:cstheme="minorBidi"/>
        </w:rPr>
      </w:pPr>
      <w:r>
        <w:rPr>
          <w:rFonts w:asciiTheme="minorHAnsi" w:hAnsiTheme="minorHAnsi" w:cstheme="minorBidi"/>
        </w:rPr>
        <w:lastRenderedPageBreak/>
        <w:t>Kohalike omavalitsute kinnisvara koordinaatori rolli täidab Regionaal- ja Põllumajandusministeerium, kes juba praegu tegeleb nii toetusmeetmete väljatöötamisega kui veab ka projekti „Minu omavalitsus</w:t>
      </w:r>
      <w:r>
        <w:rPr>
          <w:rStyle w:val="Allmrkuseviide"/>
          <w:rFonts w:asciiTheme="minorHAnsi" w:hAnsiTheme="minorHAnsi" w:cstheme="minorBidi"/>
        </w:rPr>
        <w:footnoteReference w:id="75"/>
      </w:r>
      <w:r>
        <w:rPr>
          <w:rFonts w:asciiTheme="minorHAnsi" w:hAnsiTheme="minorHAnsi" w:cstheme="minorBidi"/>
        </w:rPr>
        <w:t>“.</w:t>
      </w:r>
    </w:p>
    <w:p w14:paraId="54BD42C6" w14:textId="77777777" w:rsidR="00B731C3" w:rsidRDefault="00B731C3" w:rsidP="00B731C3">
      <w:pPr>
        <w:pStyle w:val="muudetavtekst"/>
        <w:rPr>
          <w:rFonts w:asciiTheme="minorHAnsi" w:hAnsiTheme="minorHAnsi" w:cstheme="minorBidi"/>
        </w:rPr>
      </w:pPr>
    </w:p>
    <w:p w14:paraId="7BB77799" w14:textId="77777777" w:rsidR="00B731C3" w:rsidRPr="00D1775E" w:rsidRDefault="00B731C3" w:rsidP="00B731C3">
      <w:pPr>
        <w:pStyle w:val="muudetavtekst"/>
        <w:rPr>
          <w:rFonts w:asciiTheme="minorHAnsi" w:hAnsiTheme="minorHAnsi" w:cstheme="minorBidi"/>
          <w:u w:val="single"/>
        </w:rPr>
      </w:pPr>
      <w:r w:rsidRPr="00D1775E">
        <w:rPr>
          <w:rFonts w:asciiTheme="minorHAnsi" w:hAnsiTheme="minorHAnsi" w:cstheme="minorBidi"/>
          <w:u w:val="single"/>
        </w:rPr>
        <w:t>Tarbijakaitse ja Tehnilise Järelevalve Amet (TTJA)</w:t>
      </w:r>
    </w:p>
    <w:p w14:paraId="48742856" w14:textId="77777777" w:rsidR="00B731C3" w:rsidRDefault="00B731C3" w:rsidP="00B731C3">
      <w:pPr>
        <w:pStyle w:val="muudetavtekst"/>
        <w:rPr>
          <w:rFonts w:asciiTheme="minorHAnsi" w:hAnsiTheme="minorHAnsi" w:cstheme="minorBidi"/>
        </w:rPr>
      </w:pPr>
      <w:r>
        <w:rPr>
          <w:rFonts w:asciiTheme="minorHAnsi" w:hAnsiTheme="minorHAnsi" w:cstheme="minorBidi"/>
        </w:rPr>
        <w:t>Energiatõhususe järelevalve ülesandeid täidab TTJA: hoonete energiatõhususe (energiamärgised, laadimistaristu) 0,5 ametikohta ja suurettevõtete energiaauditite järelevalve 0,5 ametikohta, kokku üks ametikoht.</w:t>
      </w:r>
    </w:p>
    <w:p w14:paraId="2B3C398B" w14:textId="77777777" w:rsidR="00B731C3" w:rsidRDefault="00B731C3" w:rsidP="00B731C3">
      <w:pPr>
        <w:pStyle w:val="muudetavtekst"/>
        <w:rPr>
          <w:rFonts w:asciiTheme="minorHAnsi" w:hAnsiTheme="minorHAnsi" w:cstheme="minorBidi"/>
        </w:rPr>
      </w:pPr>
      <w:r>
        <w:rPr>
          <w:rFonts w:asciiTheme="minorHAnsi" w:hAnsiTheme="minorHAnsi" w:cstheme="minorBidi"/>
        </w:rPr>
        <w:t>TTJA koormus suureneb järgmiste ülesannete lisandumise tõttu:</w:t>
      </w:r>
    </w:p>
    <w:p w14:paraId="40785C38" w14:textId="77777777" w:rsidR="00B731C3" w:rsidRDefault="00B731C3" w:rsidP="00B731C3">
      <w:pPr>
        <w:pStyle w:val="muudetavtekst"/>
        <w:numPr>
          <w:ilvl w:val="0"/>
          <w:numId w:val="46"/>
        </w:numPr>
        <w:rPr>
          <w:rFonts w:asciiTheme="minorHAnsi" w:hAnsiTheme="minorHAnsi" w:cstheme="minorBidi"/>
        </w:rPr>
      </w:pPr>
      <w:r>
        <w:rPr>
          <w:rFonts w:asciiTheme="minorHAnsi" w:hAnsiTheme="minorHAnsi" w:cstheme="minorBidi"/>
        </w:rPr>
        <w:t>suureneb (kuni viis korda) ettevõtete hulk, kellele laieneb energiaauditite kohustus, seetõttu kasvab ka järelevalve ja teavituskohustus. Riik töötab selle nimel, et energiaauditi alusel tehtava tegevuskava saaks majandusaasta aruandesse esitada automaatselt ja kava oleks lihtsasti täidetav ning ka kontrollitav. Seda tehakse koostöös reaalajamajanduse ning kestliku aruandluse valdkonnaga.</w:t>
      </w:r>
    </w:p>
    <w:p w14:paraId="64769833" w14:textId="77777777" w:rsidR="00B731C3" w:rsidRDefault="00B731C3" w:rsidP="00B731C3">
      <w:pPr>
        <w:pStyle w:val="muudetavtekst"/>
        <w:numPr>
          <w:ilvl w:val="0"/>
          <w:numId w:val="46"/>
        </w:numPr>
        <w:rPr>
          <w:rFonts w:asciiTheme="minorHAnsi" w:hAnsiTheme="minorHAnsi" w:cstheme="minorBidi"/>
        </w:rPr>
      </w:pPr>
      <w:r>
        <w:rPr>
          <w:rFonts w:asciiTheme="minorHAnsi" w:hAnsiTheme="minorHAnsi" w:cstheme="minorBidi"/>
        </w:rPr>
        <w:t xml:space="preserve">Avaliku sektori asustuste energiasäästu koordinaatori roll on uus ülesanne ning on seotud avaliku sektori asutuste energiatarbimise andmete kogumisega, nende analüüsimisega, leevendusmeetmete arvutamisega ning andemete tagasisidestamisega avaliku sektori asutustele, sh. parimate praktikate jagamine. Selleks tuleb arendada välja juba olemasolevaid platvorme kasutades ja/või uusi arendades (vt. seletuskirja järgmist punkti IT ja andmehaldus), avaliku sektori asutuste tegeliku energiakasutuse  seire (rakendamise tähtaeg 11.10.2027). </w:t>
      </w:r>
    </w:p>
    <w:p w14:paraId="34B9BDC9" w14:textId="77777777" w:rsidR="00B731C3" w:rsidRDefault="00B731C3" w:rsidP="00B731C3">
      <w:pPr>
        <w:pStyle w:val="muudetavtekst"/>
        <w:ind w:left="720"/>
        <w:rPr>
          <w:rFonts w:asciiTheme="minorHAnsi" w:hAnsiTheme="minorHAnsi" w:cstheme="minorBidi"/>
        </w:rPr>
      </w:pPr>
      <w:r>
        <w:rPr>
          <w:rFonts w:asciiTheme="minorHAnsi" w:hAnsiTheme="minorHAnsi" w:cstheme="minorBidi"/>
        </w:rPr>
        <w:t xml:space="preserve">Samuti on TTJA ülesanne koordineerida ülikoolide ja haiglate renoveerimisplaane ning jälgida koostöös Rahandusministeeriumi ning Regionaal- ja Põllumajandusministeeriumiga avaliku sektori hoonete rekonstrueerimise 3% nõude täitmist </w:t>
      </w:r>
    </w:p>
    <w:p w14:paraId="54B29904" w14:textId="77777777" w:rsidR="00B731C3" w:rsidRDefault="00B731C3" w:rsidP="00B731C3">
      <w:pPr>
        <w:pStyle w:val="muudetavtekst"/>
        <w:numPr>
          <w:ilvl w:val="0"/>
          <w:numId w:val="46"/>
        </w:numPr>
        <w:rPr>
          <w:rFonts w:asciiTheme="minorHAnsi" w:hAnsiTheme="minorHAnsi" w:cstheme="minorBidi"/>
        </w:rPr>
      </w:pPr>
      <w:r w:rsidRPr="00031358">
        <w:rPr>
          <w:rFonts w:asciiTheme="minorHAnsi" w:hAnsiTheme="minorHAnsi" w:cstheme="minorBidi"/>
        </w:rPr>
        <w:t>Andmeke</w:t>
      </w:r>
      <w:r>
        <w:rPr>
          <w:rFonts w:asciiTheme="minorHAnsi" w:hAnsiTheme="minorHAnsi" w:cstheme="minorBidi"/>
        </w:rPr>
        <w:t>s</w:t>
      </w:r>
      <w:r w:rsidRPr="00031358">
        <w:rPr>
          <w:rFonts w:asciiTheme="minorHAnsi" w:hAnsiTheme="minorHAnsi" w:cstheme="minorBidi"/>
        </w:rPr>
        <w:t>kuste kontaktpunk</w:t>
      </w:r>
      <w:r>
        <w:rPr>
          <w:rFonts w:asciiTheme="minorHAnsi" w:hAnsiTheme="minorHAnsi" w:cstheme="minorBidi"/>
        </w:rPr>
        <w:t>ti roll on eelkõige Euroopa andmebaasis ReportENER kontode loomine ning riigi raportite riigi kinnitamine. Kuna andmekeskuste raporteerimise kohustus hakkas kehtima juba 15.05.2024, siis seni on seda rolli täitnud Kliimaministeerium, kelle kogemus näitab, et kontaktpunkti roll on minimaalne ning see ei suurendanud töökoormust.</w:t>
      </w:r>
    </w:p>
    <w:p w14:paraId="62A515DA" w14:textId="77777777" w:rsidR="00B731C3" w:rsidRDefault="00B731C3" w:rsidP="00B731C3">
      <w:pPr>
        <w:pStyle w:val="muudetavtekst"/>
        <w:rPr>
          <w:rFonts w:asciiTheme="minorHAnsi" w:hAnsiTheme="minorHAnsi" w:cstheme="minorBidi"/>
        </w:rPr>
      </w:pPr>
      <w:r>
        <w:rPr>
          <w:rFonts w:asciiTheme="minorHAnsi" w:hAnsiTheme="minorHAnsi" w:cstheme="minorBidi"/>
        </w:rPr>
        <w:t>Kokkuvõtvalt suureneb TTJA tööjõuvajadus kuni nelja ametikoha võrra</w:t>
      </w:r>
      <w:r w:rsidRPr="003869A9">
        <w:rPr>
          <w:rFonts w:asciiTheme="minorHAnsi" w:hAnsiTheme="minorHAnsi" w:cstheme="minorBidi"/>
        </w:rPr>
        <w:t>.  Selle kulu riigieelarvele on 250 000 -300 000 eurot aastas (koos maksude ja töövahendite kuluga)..</w:t>
      </w:r>
      <w:r>
        <w:rPr>
          <w:rFonts w:asciiTheme="minorHAnsi" w:hAnsiTheme="minorHAnsi" w:cstheme="minorBidi"/>
        </w:rPr>
        <w:t xml:space="preserve"> </w:t>
      </w:r>
    </w:p>
    <w:p w14:paraId="72443F82" w14:textId="77777777" w:rsidR="00B731C3" w:rsidRDefault="00B731C3" w:rsidP="00B731C3">
      <w:pPr>
        <w:pStyle w:val="muudetavtekst"/>
        <w:rPr>
          <w:rFonts w:asciiTheme="minorHAnsi" w:hAnsiTheme="minorHAnsi" w:cstheme="minorBidi"/>
        </w:rPr>
      </w:pPr>
    </w:p>
    <w:p w14:paraId="3F454CF9" w14:textId="77777777" w:rsidR="00B731C3" w:rsidRDefault="00B731C3" w:rsidP="00B731C3">
      <w:pPr>
        <w:pStyle w:val="muudetavtekst"/>
        <w:rPr>
          <w:rFonts w:asciiTheme="minorHAnsi" w:hAnsiTheme="minorHAnsi" w:cstheme="minorBidi"/>
          <w:u w:val="single"/>
        </w:rPr>
      </w:pPr>
      <w:r w:rsidRPr="00C06EDE">
        <w:rPr>
          <w:rFonts w:asciiTheme="minorHAnsi" w:hAnsiTheme="minorHAnsi" w:cstheme="minorBidi"/>
          <w:u w:val="single"/>
        </w:rPr>
        <w:t>IT ja andmehaldus</w:t>
      </w:r>
    </w:p>
    <w:p w14:paraId="60A6B1EA" w14:textId="77777777" w:rsidR="00B731C3" w:rsidRDefault="00B731C3" w:rsidP="00B731C3">
      <w:pPr>
        <w:pStyle w:val="muudetavtekst"/>
        <w:rPr>
          <w:rFonts w:asciiTheme="minorHAnsi" w:hAnsiTheme="minorHAnsi" w:cstheme="minorBidi"/>
        </w:rPr>
      </w:pPr>
      <w:r w:rsidRPr="00D12A4D">
        <w:rPr>
          <w:rFonts w:asciiTheme="minorHAnsi" w:hAnsiTheme="minorHAnsi" w:cstheme="minorBidi"/>
        </w:rPr>
        <w:t xml:space="preserve">Andmehaldusel on oluline osa direktiivi rakendamisel, eelkõige </w:t>
      </w:r>
      <w:r>
        <w:rPr>
          <w:rFonts w:asciiTheme="minorHAnsi" w:hAnsiTheme="minorHAnsi" w:cstheme="minorBidi"/>
        </w:rPr>
        <w:t>avaliku sektori asutuste jaoks.</w:t>
      </w:r>
    </w:p>
    <w:p w14:paraId="76044674" w14:textId="77777777" w:rsidR="00B731C3" w:rsidRDefault="00B731C3" w:rsidP="00B731C3">
      <w:pPr>
        <w:pStyle w:val="muudetavtekst"/>
        <w:rPr>
          <w:rFonts w:asciiTheme="minorHAnsi" w:hAnsiTheme="minorHAnsi" w:cstheme="minorBidi"/>
        </w:rPr>
      </w:pPr>
      <w:r>
        <w:rPr>
          <w:rFonts w:asciiTheme="minorHAnsi" w:hAnsiTheme="minorHAnsi" w:cstheme="minorBidi"/>
        </w:rPr>
        <w:t>Komisjoni soovitus, milline võiks olla andmete kogumine avaliku sektori kohta, on järgmisel joonisel.</w:t>
      </w:r>
    </w:p>
    <w:p w14:paraId="1D0FD84A" w14:textId="77777777" w:rsidR="00B731C3" w:rsidRDefault="00B731C3" w:rsidP="00B731C3">
      <w:pPr>
        <w:pStyle w:val="muudetavtekst"/>
        <w:rPr>
          <w:rFonts w:asciiTheme="minorHAnsi" w:hAnsiTheme="minorHAnsi" w:cstheme="minorBidi"/>
        </w:rPr>
      </w:pPr>
      <w:r>
        <w:rPr>
          <w:noProof/>
        </w:rPr>
        <w:lastRenderedPageBreak/>
        <w:drawing>
          <wp:inline distT="0" distB="0" distL="0" distR="0" wp14:anchorId="1A434744" wp14:editId="2211B3AD">
            <wp:extent cx="6520815" cy="4167514"/>
            <wp:effectExtent l="0" t="0" r="0" b="4445"/>
            <wp:docPr id="7" name="Pilt 6" descr="Pilt, millel on kujutatud tekst, number, kuvatõmmis, Paralleelne&#10;&#10;Tehisintellekti genereeritud sisu võib olla ebatõene.">
              <a:extLst xmlns:a="http://schemas.openxmlformats.org/drawingml/2006/main">
                <a:ext uri="{FF2B5EF4-FFF2-40B4-BE49-F238E27FC236}">
                  <a16:creationId xmlns:a16="http://schemas.microsoft.com/office/drawing/2014/main" id="{33C1A02B-01F2-B034-6045-0D06645DC4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lt 6" descr="Pilt, millel on kujutatud tekst, number, kuvatõmmis, Paralleelne&#10;&#10;Tehisintellekti genereeritud sisu võib olla ebatõene.">
                      <a:extLst>
                        <a:ext uri="{FF2B5EF4-FFF2-40B4-BE49-F238E27FC236}">
                          <a16:creationId xmlns:a16="http://schemas.microsoft.com/office/drawing/2014/main" id="{33C1A02B-01F2-B034-6045-0D06645DC4F8}"/>
                        </a:ext>
                      </a:extLst>
                    </pic:cNvPr>
                    <pic:cNvPicPr>
                      <a:picLocks noChangeAspect="1"/>
                    </pic:cNvPicPr>
                  </pic:nvPicPr>
                  <pic:blipFill>
                    <a:blip r:embed="rId35"/>
                    <a:stretch>
                      <a:fillRect/>
                    </a:stretch>
                  </pic:blipFill>
                  <pic:spPr>
                    <a:xfrm>
                      <a:off x="0" y="0"/>
                      <a:ext cx="6545046" cy="4183000"/>
                    </a:xfrm>
                    <a:prstGeom prst="rect">
                      <a:avLst/>
                    </a:prstGeom>
                  </pic:spPr>
                </pic:pic>
              </a:graphicData>
            </a:graphic>
          </wp:inline>
        </w:drawing>
      </w:r>
    </w:p>
    <w:p w14:paraId="03E94403" w14:textId="77777777" w:rsidR="00B731C3" w:rsidRDefault="00B731C3" w:rsidP="00B731C3">
      <w:pPr>
        <w:pStyle w:val="muudetavtekst"/>
        <w:rPr>
          <w:rFonts w:asciiTheme="minorHAnsi" w:hAnsiTheme="minorHAnsi" w:cstheme="minorBidi"/>
        </w:rPr>
      </w:pPr>
    </w:p>
    <w:p w14:paraId="26E2D240" w14:textId="77777777" w:rsidR="00B731C3" w:rsidRDefault="00B731C3" w:rsidP="00B731C3">
      <w:pPr>
        <w:pStyle w:val="muudetavtekst"/>
        <w:rPr>
          <w:rFonts w:asciiTheme="minorHAnsi" w:hAnsiTheme="minorHAnsi" w:cstheme="minorBidi"/>
        </w:rPr>
      </w:pPr>
      <w:r w:rsidRPr="003A59B0">
        <w:rPr>
          <w:rFonts w:asciiTheme="minorHAnsi" w:hAnsiTheme="minorHAnsi" w:cstheme="minorBidi"/>
        </w:rPr>
        <w:t xml:space="preserve">Joonis </w:t>
      </w:r>
      <w:r>
        <w:rPr>
          <w:rFonts w:asciiTheme="minorHAnsi" w:hAnsiTheme="minorHAnsi" w:cstheme="minorBidi"/>
        </w:rPr>
        <w:t>6. A</w:t>
      </w:r>
      <w:r w:rsidRPr="003A59B0">
        <w:rPr>
          <w:rFonts w:asciiTheme="minorHAnsi" w:hAnsiTheme="minorHAnsi" w:cstheme="minorBidi"/>
        </w:rPr>
        <w:t>ndmeväljad energia lõpptarbimise andmete kogumiseks avaliku sektori asutuste kaupa.</w:t>
      </w:r>
    </w:p>
    <w:p w14:paraId="66A8ACB3" w14:textId="77777777" w:rsidR="00B731C3" w:rsidRDefault="00B731C3" w:rsidP="00B731C3">
      <w:pPr>
        <w:pStyle w:val="muudetavtekst"/>
        <w:rPr>
          <w:rFonts w:asciiTheme="minorHAnsi" w:hAnsiTheme="minorHAnsi" w:cstheme="minorBidi"/>
        </w:rPr>
      </w:pPr>
    </w:p>
    <w:p w14:paraId="6FF64BDB" w14:textId="77777777" w:rsidR="00B731C3" w:rsidRDefault="00B731C3" w:rsidP="00B731C3">
      <w:pPr>
        <w:pStyle w:val="muudetavtekst"/>
        <w:rPr>
          <w:rFonts w:asciiTheme="minorHAnsi" w:hAnsiTheme="minorHAnsi" w:cstheme="minorBidi"/>
        </w:rPr>
      </w:pPr>
      <w:r>
        <w:rPr>
          <w:rFonts w:asciiTheme="minorHAnsi" w:hAnsiTheme="minorHAnsi" w:cstheme="minorBidi"/>
        </w:rPr>
        <w:t>Eelnõu koostamise ajal oli andmete kogumine käsitöö läbi riigiraha.fin.ee. Selleks et andmeid automaatselt koguda, tuleks üles ehitada eraldi süsteem, selgitada välja olemasolevad võimalused. Energiavõrkude andmevahetuse kohta on analüüsihange käimas Riigikantselei innovatsiooniprojektis „</w:t>
      </w:r>
      <w:r w:rsidRPr="00873A5F">
        <w:rPr>
          <w:rFonts w:asciiTheme="minorHAnsi" w:hAnsiTheme="minorHAnsi" w:cstheme="minorBidi"/>
        </w:rPr>
        <w:t xml:space="preserve">Hoone indikatiivse energiatõhususe klassi reaalajas määramine ning </w:t>
      </w:r>
      <w:r w:rsidRPr="00DF696A">
        <w:rPr>
          <w:rFonts w:asciiTheme="minorHAnsi" w:hAnsiTheme="minorHAnsi" w:cstheme="minorBidi"/>
        </w:rPr>
        <w:t>energiatõhususearvu</w:t>
      </w:r>
      <w:r w:rsidRPr="00873A5F">
        <w:rPr>
          <w:rFonts w:asciiTheme="minorHAnsi" w:hAnsiTheme="minorHAnsi" w:cstheme="minorBidi"/>
        </w:rPr>
        <w:t xml:space="preserve"> järelevalve automatiseerimine</w:t>
      </w:r>
      <w:r>
        <w:rPr>
          <w:rFonts w:asciiTheme="minorHAnsi" w:hAnsiTheme="minorHAnsi" w:cstheme="minorBidi"/>
        </w:rPr>
        <w:t>“</w:t>
      </w:r>
      <w:r>
        <w:rPr>
          <w:rStyle w:val="Allmrkuseviide"/>
          <w:rFonts w:asciiTheme="minorHAnsi" w:hAnsiTheme="minorHAnsi" w:cstheme="minorBidi"/>
        </w:rPr>
        <w:footnoteReference w:id="76"/>
      </w:r>
      <w:r>
        <w:rPr>
          <w:rFonts w:asciiTheme="minorHAnsi" w:hAnsiTheme="minorHAnsi" w:cstheme="minorBidi"/>
        </w:rPr>
        <w:t>.</w:t>
      </w:r>
    </w:p>
    <w:p w14:paraId="56C901ED" w14:textId="77777777" w:rsidR="00B731C3" w:rsidRDefault="00B731C3" w:rsidP="00B731C3">
      <w:pPr>
        <w:pStyle w:val="muudetavtekst"/>
        <w:rPr>
          <w:rFonts w:asciiTheme="minorHAnsi" w:hAnsiTheme="minorHAnsi" w:cstheme="minorBidi"/>
        </w:rPr>
      </w:pPr>
      <w:r>
        <w:rPr>
          <w:rFonts w:asciiTheme="minorHAnsi" w:hAnsiTheme="minorHAnsi" w:cstheme="minorBidi"/>
        </w:rPr>
        <w:t>Andmete koondamine ühtsesse portaali annab riigile parema ülevaate asutuste majandamiskuludest, energia tarbimisest ning aitab leida üles võimalused, kus kasu on kõige suurem, nii et teenused ei kannataks.</w:t>
      </w:r>
    </w:p>
    <w:p w14:paraId="785BB431" w14:textId="77777777" w:rsidR="00B731C3" w:rsidRDefault="00B731C3" w:rsidP="00B731C3">
      <w:pPr>
        <w:pStyle w:val="muudetavtekst"/>
        <w:rPr>
          <w:rFonts w:asciiTheme="minorHAnsi" w:hAnsiTheme="minorHAnsi" w:cstheme="minorBidi"/>
        </w:rPr>
      </w:pPr>
    </w:p>
    <w:p w14:paraId="711CA67F" w14:textId="77777777" w:rsidR="00B731C3" w:rsidRDefault="00B731C3" w:rsidP="00B731C3">
      <w:pPr>
        <w:pStyle w:val="muudetavtekst"/>
        <w:rPr>
          <w:rFonts w:asciiTheme="minorHAnsi" w:hAnsiTheme="minorHAnsi" w:cstheme="minorBidi"/>
        </w:rPr>
      </w:pPr>
      <w:r>
        <w:rPr>
          <w:rFonts w:asciiTheme="minorHAnsi" w:hAnsiTheme="minorHAnsi" w:cstheme="minorBidi"/>
        </w:rPr>
        <w:t>Teiste riikide näited, kuidas toimub avaliku sektori energiatarbimise seire:</w:t>
      </w:r>
    </w:p>
    <w:p w14:paraId="732C4926" w14:textId="77777777" w:rsidR="00B731C3" w:rsidRDefault="00B731C3" w:rsidP="00B731C3">
      <w:pPr>
        <w:pStyle w:val="muudetavtekst"/>
        <w:numPr>
          <w:ilvl w:val="0"/>
          <w:numId w:val="42"/>
        </w:numPr>
        <w:rPr>
          <w:rFonts w:asciiTheme="minorHAnsi" w:hAnsiTheme="minorHAnsi" w:cstheme="minorBidi"/>
        </w:rPr>
      </w:pPr>
      <w:r>
        <w:rPr>
          <w:rFonts w:asciiTheme="minorHAnsi" w:hAnsiTheme="minorHAnsi" w:cstheme="minorBidi"/>
        </w:rPr>
        <w:t xml:space="preserve">Horvaatia - </w:t>
      </w:r>
      <w:hyperlink r:id="rId36" w:history="1">
        <w:r w:rsidRPr="00BC7017">
          <w:rPr>
            <w:rStyle w:val="Hperlink"/>
            <w:rFonts w:asciiTheme="minorHAnsi" w:hAnsiTheme="minorHAnsi" w:cstheme="minorBidi"/>
          </w:rPr>
          <w:t>https://www.isge.hr/login.xhtml</w:t>
        </w:r>
      </w:hyperlink>
      <w:r>
        <w:rPr>
          <w:rFonts w:asciiTheme="minorHAnsi" w:hAnsiTheme="minorHAnsi" w:cstheme="minorBidi"/>
        </w:rPr>
        <w:t xml:space="preserve"> </w:t>
      </w:r>
    </w:p>
    <w:p w14:paraId="04FF301E" w14:textId="77777777" w:rsidR="00B731C3" w:rsidRDefault="00B731C3" w:rsidP="00B731C3">
      <w:pPr>
        <w:pStyle w:val="muudetavtekst"/>
        <w:ind w:left="720"/>
        <w:rPr>
          <w:rFonts w:asciiTheme="minorHAnsi" w:hAnsiTheme="minorHAnsi" w:cstheme="minorBidi"/>
        </w:rPr>
      </w:pPr>
      <w:r>
        <w:rPr>
          <w:rFonts w:asciiTheme="minorHAnsi" w:hAnsiTheme="minorHAnsi" w:cstheme="minorBidi"/>
        </w:rPr>
        <w:t xml:space="preserve">Jälgivad asutuste energia ja vee kasutustust, tänavavalgustust, sõidukite kasutamist. Andmed jooksevad arvetelt automaatselt, aga olemas ka käsitsi sisestamise võimalus. Oluline on rõhutada, et Horvaatias on kohustus, et kõigil asutustel oleks määratud nn energiajuht (ingl k </w:t>
      </w:r>
      <w:r w:rsidRPr="00561E3B">
        <w:rPr>
          <w:rFonts w:asciiTheme="minorHAnsi" w:hAnsiTheme="minorHAnsi" w:cstheme="minorBidi"/>
          <w:i/>
          <w:iCs/>
        </w:rPr>
        <w:t>energy manager</w:t>
      </w:r>
      <w:r>
        <w:rPr>
          <w:rFonts w:asciiTheme="minorHAnsi" w:hAnsiTheme="minorHAnsi" w:cstheme="minorBidi"/>
        </w:rPr>
        <w:t>), kes siis süsteemselt jälgib asutuse energiakasutust.</w:t>
      </w:r>
    </w:p>
    <w:p w14:paraId="4CE5A55F" w14:textId="77777777" w:rsidR="00B731C3" w:rsidRDefault="00B731C3" w:rsidP="00B731C3">
      <w:pPr>
        <w:pStyle w:val="muudetavtekst"/>
        <w:numPr>
          <w:ilvl w:val="0"/>
          <w:numId w:val="42"/>
        </w:numPr>
        <w:rPr>
          <w:rFonts w:asciiTheme="minorHAnsi" w:hAnsiTheme="minorHAnsi" w:cstheme="minorBidi"/>
        </w:rPr>
      </w:pPr>
      <w:r>
        <w:rPr>
          <w:rFonts w:asciiTheme="minorHAnsi" w:hAnsiTheme="minorHAnsi" w:cstheme="minorBidi"/>
        </w:rPr>
        <w:t xml:space="preserve">Luksemburg - </w:t>
      </w:r>
      <w:hyperlink r:id="rId37" w:history="1">
        <w:r w:rsidRPr="00BC7017">
          <w:rPr>
            <w:rStyle w:val="Hperlink"/>
            <w:rFonts w:asciiTheme="minorHAnsi" w:hAnsiTheme="minorHAnsi" w:cstheme="minorBidi"/>
          </w:rPr>
          <w:t>https://www.klima-agence.lu/en/enercoach</w:t>
        </w:r>
      </w:hyperlink>
      <w:r>
        <w:rPr>
          <w:rFonts w:asciiTheme="minorHAnsi" w:hAnsiTheme="minorHAnsi" w:cstheme="minorBidi"/>
        </w:rPr>
        <w:t xml:space="preserve"> </w:t>
      </w:r>
    </w:p>
    <w:p w14:paraId="21060960" w14:textId="77777777" w:rsidR="00B731C3" w:rsidRDefault="00B731C3" w:rsidP="00B731C3">
      <w:pPr>
        <w:pStyle w:val="muudetavtekst"/>
        <w:ind w:left="720"/>
        <w:rPr>
          <w:rFonts w:asciiTheme="minorHAnsi" w:hAnsiTheme="minorHAnsi" w:cstheme="minorBidi"/>
        </w:rPr>
      </w:pPr>
      <w:r>
        <w:rPr>
          <w:rFonts w:asciiTheme="minorHAnsi" w:hAnsiTheme="minorHAnsi" w:cstheme="minorBidi"/>
        </w:rPr>
        <w:t>Keskendub eelkõige kohalikele omavalitsustele, tasuta, li</w:t>
      </w:r>
      <w:r w:rsidRPr="007703AD">
        <w:rPr>
          <w:rFonts w:asciiTheme="minorHAnsi" w:hAnsiTheme="minorHAnsi" w:cstheme="minorBidi"/>
        </w:rPr>
        <w:t>htsalt kasutatav ja tõhus energiaarvestuse tarkvara, mis toimib armatuurlaua ja kokpiti</w:t>
      </w:r>
      <w:r>
        <w:rPr>
          <w:rFonts w:asciiTheme="minorHAnsi" w:hAnsiTheme="minorHAnsi" w:cstheme="minorBidi"/>
        </w:rPr>
        <w:t>na</w:t>
      </w:r>
      <w:r w:rsidRPr="007703AD">
        <w:rPr>
          <w:rFonts w:asciiTheme="minorHAnsi" w:hAnsiTheme="minorHAnsi" w:cstheme="minorBidi"/>
        </w:rPr>
        <w:t>: see tööriist võimaldab tõhusalt salvestada, illustreerida ja analüüsida energia (soojus ja elekter) ja vee</w:t>
      </w:r>
      <w:r>
        <w:rPr>
          <w:rFonts w:asciiTheme="minorHAnsi" w:hAnsiTheme="minorHAnsi" w:cstheme="minorBidi"/>
        </w:rPr>
        <w:t xml:space="preserve"> </w:t>
      </w:r>
      <w:r w:rsidRPr="007703AD">
        <w:rPr>
          <w:rFonts w:asciiTheme="minorHAnsi" w:hAnsiTheme="minorHAnsi" w:cstheme="minorBidi"/>
        </w:rPr>
        <w:t>tarbimist ning CO</w:t>
      </w:r>
      <w:r w:rsidRPr="00DF696A">
        <w:rPr>
          <w:rFonts w:asciiTheme="minorHAnsi" w:hAnsiTheme="minorHAnsi" w:cstheme="minorBidi"/>
          <w:vertAlign w:val="subscript"/>
        </w:rPr>
        <w:t>2</w:t>
      </w:r>
      <w:r w:rsidRPr="007703AD">
        <w:rPr>
          <w:rFonts w:asciiTheme="minorHAnsi" w:hAnsiTheme="minorHAnsi" w:cstheme="minorBidi"/>
        </w:rPr>
        <w:t xml:space="preserve"> heitkoguseid mitteeluhoonetes ja -rajatistes (avalik valgustus ja sõidukid).</w:t>
      </w:r>
      <w:r>
        <w:rPr>
          <w:rFonts w:asciiTheme="minorHAnsi" w:hAnsiTheme="minorHAnsi" w:cstheme="minorBidi"/>
        </w:rPr>
        <w:t xml:space="preserve"> </w:t>
      </w:r>
      <w:r>
        <w:rPr>
          <w:rFonts w:asciiTheme="minorHAnsi" w:hAnsiTheme="minorHAnsi" w:cstheme="minorBidi"/>
        </w:rPr>
        <w:lastRenderedPageBreak/>
        <w:t>Nende kogemused on järgmine: v</w:t>
      </w:r>
      <w:r w:rsidRPr="004C02D7">
        <w:rPr>
          <w:rFonts w:asciiTheme="minorHAnsi" w:hAnsiTheme="minorHAnsi" w:cstheme="minorBidi"/>
        </w:rPr>
        <w:t>arade ja seadmete energiatarbimise selgem nägemus ja läbipaistvus</w:t>
      </w:r>
      <w:r>
        <w:rPr>
          <w:rFonts w:asciiTheme="minorHAnsi" w:hAnsiTheme="minorHAnsi" w:cstheme="minorBidi"/>
        </w:rPr>
        <w:t>; selgitab välja kokkuhoiuvõimalused; andmepõhised otsused ja annab ülevaate võimalikest subsiidiumitest.</w:t>
      </w:r>
    </w:p>
    <w:p w14:paraId="7FA275DF" w14:textId="77777777" w:rsidR="00B731C3" w:rsidRPr="00310D1E" w:rsidRDefault="00B731C3" w:rsidP="00B731C3">
      <w:pPr>
        <w:pStyle w:val="muudetavtekst"/>
        <w:numPr>
          <w:ilvl w:val="0"/>
          <w:numId w:val="42"/>
        </w:numPr>
        <w:rPr>
          <w:rFonts w:asciiTheme="minorHAnsi" w:hAnsiTheme="minorHAnsi" w:cstheme="minorBidi"/>
        </w:rPr>
      </w:pPr>
      <w:r>
        <w:rPr>
          <w:rFonts w:asciiTheme="minorHAnsi" w:hAnsiTheme="minorHAnsi" w:cstheme="minorBidi"/>
        </w:rPr>
        <w:t xml:space="preserve">Iirimaa - </w:t>
      </w:r>
      <w:hyperlink r:id="rId38" w:history="1">
        <w:r w:rsidRPr="00BC7017">
          <w:rPr>
            <w:rStyle w:val="Hperlink"/>
            <w:rFonts w:asciiTheme="minorHAnsi" w:hAnsiTheme="minorHAnsi" w:cstheme="minorBidi"/>
          </w:rPr>
          <w:t>https://ultantechnologies.com/energy-efficiency-in-public-buildings/</w:t>
        </w:r>
      </w:hyperlink>
      <w:r>
        <w:rPr>
          <w:rFonts w:asciiTheme="minorHAnsi" w:hAnsiTheme="minorHAnsi" w:cstheme="minorBidi"/>
        </w:rPr>
        <w:t xml:space="preserve">, </w:t>
      </w:r>
      <w:hyperlink r:id="rId39" w:history="1">
        <w:r w:rsidRPr="00F11B27">
          <w:rPr>
            <w:rFonts w:asciiTheme="minorHAnsi" w:eastAsiaTheme="minorHAnsi" w:hAnsiTheme="minorHAnsi" w:cstheme="minorBidi"/>
            <w:color w:val="0000FF"/>
            <w:sz w:val="22"/>
            <w:szCs w:val="22"/>
            <w:u w:val="single"/>
            <w:lang w:eastAsia="en-US"/>
          </w:rPr>
          <w:t>Public Sector Monitoring &amp; Reporting Programme</w:t>
        </w:r>
      </w:hyperlink>
    </w:p>
    <w:p w14:paraId="1690EF97" w14:textId="77777777" w:rsidR="00B731C3" w:rsidRDefault="00B731C3" w:rsidP="00B731C3">
      <w:pPr>
        <w:pStyle w:val="muudetavtekst"/>
        <w:ind w:left="720"/>
        <w:rPr>
          <w:rFonts w:asciiTheme="minorHAnsi" w:hAnsiTheme="minorHAnsi" w:cstheme="minorBidi"/>
        </w:rPr>
      </w:pPr>
      <w:r>
        <w:rPr>
          <w:rFonts w:asciiTheme="minorHAnsi" w:hAnsiTheme="minorHAnsi" w:cstheme="minorBidi"/>
        </w:rPr>
        <w:t>Kasutusel alates 2017, s</w:t>
      </w:r>
      <w:r w:rsidRPr="00310D1E">
        <w:rPr>
          <w:rFonts w:asciiTheme="minorHAnsi" w:hAnsiTheme="minorHAnsi" w:cstheme="minorBidi"/>
        </w:rPr>
        <w:t xml:space="preserve">üsteem põhineb Ultan Technologiesi SensorCIS tarkvaral, mida on </w:t>
      </w:r>
      <w:r>
        <w:rPr>
          <w:rFonts w:asciiTheme="minorHAnsi" w:hAnsiTheme="minorHAnsi" w:cstheme="minorBidi"/>
        </w:rPr>
        <w:t>Iiri energiaagentuuri (</w:t>
      </w:r>
      <w:r w:rsidRPr="00310D1E">
        <w:rPr>
          <w:rFonts w:asciiTheme="minorHAnsi" w:hAnsiTheme="minorHAnsi" w:cstheme="minorBidi"/>
        </w:rPr>
        <w:t>SEAI</w:t>
      </w:r>
      <w:r>
        <w:rPr>
          <w:rFonts w:asciiTheme="minorHAnsi" w:hAnsiTheme="minorHAnsi" w:cstheme="minorBidi"/>
        </w:rPr>
        <w:t>)</w:t>
      </w:r>
      <w:r w:rsidRPr="00310D1E">
        <w:rPr>
          <w:rFonts w:asciiTheme="minorHAnsi" w:hAnsiTheme="minorHAnsi" w:cstheme="minorBidi"/>
        </w:rPr>
        <w:t xml:space="preserve"> jaoks oluliselt muudetud. SEAI maksab iga-aastast litsentsitasu ja lisatasusid käimasoleva süsteemitoe ja arendustöö eest. SEAI pakub ka kasutajat</w:t>
      </w:r>
      <w:r>
        <w:rPr>
          <w:rFonts w:asciiTheme="minorHAnsi" w:hAnsiTheme="minorHAnsi" w:cstheme="minorBidi"/>
        </w:rPr>
        <w:t>uge</w:t>
      </w:r>
      <w:r w:rsidRPr="00310D1E">
        <w:rPr>
          <w:rFonts w:asciiTheme="minorHAnsi" w:hAnsiTheme="minorHAnsi" w:cstheme="minorBidi"/>
        </w:rPr>
        <w:t>, mis aitab tarkvarakasutajatel aruandeid täita.</w:t>
      </w:r>
    </w:p>
    <w:p w14:paraId="514425D5" w14:textId="77777777" w:rsidR="00B731C3" w:rsidRDefault="00B731C3" w:rsidP="00B731C3">
      <w:pPr>
        <w:pStyle w:val="muudetavtekst"/>
        <w:ind w:left="720"/>
        <w:rPr>
          <w:rFonts w:asciiTheme="minorHAnsi" w:hAnsiTheme="minorHAnsi" w:cstheme="minorBidi"/>
        </w:rPr>
      </w:pPr>
      <w:r>
        <w:rPr>
          <w:rFonts w:asciiTheme="minorHAnsi" w:hAnsiTheme="minorHAnsi" w:cstheme="minorBidi"/>
        </w:rPr>
        <w:t xml:space="preserve">Väga põhjalik ülevaade nii koolide, haiglate kui ka teiste asutuste kohta. Kasutavad teenuse taseme (aktiivsuse) mõõdikut ehk võtavad arvesse, kui on nn standardkasutustest erinev hoonete kasutamine. Samuti pakub süsteem baastaseme võrdlust, et jälgida eesmärkide täitmist. </w:t>
      </w:r>
      <w:r w:rsidRPr="006A003D">
        <w:rPr>
          <w:rFonts w:asciiTheme="minorHAnsi" w:hAnsiTheme="minorHAnsi" w:cstheme="minorBidi"/>
        </w:rPr>
        <w:t xml:space="preserve">SEAI koostab </w:t>
      </w:r>
      <w:r>
        <w:rPr>
          <w:rFonts w:asciiTheme="minorHAnsi" w:hAnsiTheme="minorHAnsi" w:cstheme="minorBidi"/>
        </w:rPr>
        <w:t xml:space="preserve">eraldi </w:t>
      </w:r>
      <w:r w:rsidRPr="006A003D">
        <w:rPr>
          <w:rFonts w:asciiTheme="minorHAnsi" w:hAnsiTheme="minorHAnsi" w:cstheme="minorBidi"/>
        </w:rPr>
        <w:t>tulemuskaardi ja analüüsi iga avaliku sektori asutuse tegevuse kohta, s</w:t>
      </w:r>
      <w:r>
        <w:rPr>
          <w:rFonts w:asciiTheme="minorHAnsi" w:hAnsiTheme="minorHAnsi" w:cstheme="minorBidi"/>
        </w:rPr>
        <w:t>h</w:t>
      </w:r>
      <w:r w:rsidRPr="006A003D">
        <w:rPr>
          <w:rFonts w:asciiTheme="minorHAnsi" w:hAnsiTheme="minorHAnsi" w:cstheme="minorBidi"/>
        </w:rPr>
        <w:t xml:space="preserve"> graafikuid, andmeid ja võrdlusuuringuid teiste avalik-õiguslike asutustega.</w:t>
      </w:r>
    </w:p>
    <w:p w14:paraId="3E6C3C23" w14:textId="77777777" w:rsidR="00B731C3" w:rsidRDefault="00B731C3" w:rsidP="00B731C3">
      <w:pPr>
        <w:pStyle w:val="muudetavtekst"/>
        <w:ind w:left="720"/>
        <w:rPr>
          <w:rFonts w:asciiTheme="minorHAnsi" w:hAnsiTheme="minorHAnsi" w:cstheme="minorBidi"/>
        </w:rPr>
      </w:pPr>
      <w:r>
        <w:rPr>
          <w:rFonts w:asciiTheme="minorHAnsi" w:hAnsiTheme="minorHAnsi" w:cstheme="minorBidi"/>
        </w:rPr>
        <w:t>Nagu ka Horvaatias on igas asutuses on oma energiajuht, kes vastutab andmete sisestamise eest, v.a elektri ja maagaasi kasutamine, mis tulevad automaatselt.</w:t>
      </w:r>
    </w:p>
    <w:p w14:paraId="594BE9CC" w14:textId="77777777" w:rsidR="00B731C3" w:rsidRDefault="00B731C3" w:rsidP="00B731C3">
      <w:pPr>
        <w:pStyle w:val="muudetavtekst"/>
        <w:ind w:left="720"/>
        <w:rPr>
          <w:rFonts w:asciiTheme="minorHAnsi" w:hAnsiTheme="minorHAnsi" w:cstheme="minorBidi"/>
        </w:rPr>
      </w:pPr>
    </w:p>
    <w:p w14:paraId="50552434" w14:textId="77777777" w:rsidR="00B731C3" w:rsidRDefault="00B731C3" w:rsidP="00B731C3">
      <w:pPr>
        <w:pStyle w:val="muudetavtekst"/>
        <w:rPr>
          <w:rFonts w:asciiTheme="minorHAnsi" w:hAnsiTheme="minorHAnsi" w:cstheme="minorBidi"/>
        </w:rPr>
      </w:pPr>
      <w:r>
        <w:rPr>
          <w:rFonts w:asciiTheme="minorHAnsi" w:hAnsiTheme="minorHAnsi" w:cstheme="minorBidi"/>
        </w:rPr>
        <w:t xml:space="preserve">Eesti riigile sellise süsteemi </w:t>
      </w:r>
      <w:r w:rsidRPr="00502FE7">
        <w:rPr>
          <w:rFonts w:asciiTheme="minorHAnsi" w:hAnsiTheme="minorHAnsi" w:cstheme="minorBidi"/>
        </w:rPr>
        <w:t>loomine maksab 350</w:t>
      </w:r>
      <w:r>
        <w:rPr>
          <w:rFonts w:asciiTheme="minorHAnsi" w:hAnsiTheme="minorHAnsi" w:cstheme="minorBidi"/>
        </w:rPr>
        <w:t> </w:t>
      </w:r>
      <w:r w:rsidRPr="00502FE7">
        <w:rPr>
          <w:rFonts w:asciiTheme="minorHAnsi" w:hAnsiTheme="minorHAnsi" w:cstheme="minorBidi"/>
        </w:rPr>
        <w:t>000</w:t>
      </w:r>
      <w:r>
        <w:rPr>
          <w:rFonts w:asciiTheme="minorHAnsi" w:hAnsiTheme="minorHAnsi" w:cstheme="minorBidi"/>
        </w:rPr>
        <w:t xml:space="preserve"> e</w:t>
      </w:r>
      <w:r w:rsidRPr="00502FE7">
        <w:rPr>
          <w:rFonts w:asciiTheme="minorHAnsi" w:hAnsiTheme="minorHAnsi" w:cstheme="minorBidi"/>
        </w:rPr>
        <w:t>urot, kuid tasub en</w:t>
      </w:r>
      <w:r>
        <w:rPr>
          <w:rFonts w:asciiTheme="minorHAnsi" w:hAnsiTheme="minorHAnsi" w:cstheme="minorBidi"/>
        </w:rPr>
        <w:t>d</w:t>
      </w:r>
      <w:r w:rsidRPr="00502FE7">
        <w:rPr>
          <w:rFonts w:asciiTheme="minorHAnsi" w:hAnsiTheme="minorHAnsi" w:cstheme="minorBidi"/>
        </w:rPr>
        <w:t xml:space="preserve"> kindlasti ära.</w:t>
      </w:r>
    </w:p>
    <w:p w14:paraId="6D5ACAB6" w14:textId="77777777" w:rsidR="00B731C3" w:rsidRDefault="00B731C3" w:rsidP="00B731C3">
      <w:pPr>
        <w:pStyle w:val="muudetavtekst"/>
        <w:rPr>
          <w:rFonts w:asciiTheme="minorHAnsi" w:hAnsiTheme="minorHAnsi" w:cstheme="minorBidi"/>
        </w:rPr>
      </w:pPr>
    </w:p>
    <w:p w14:paraId="4F1F9091" w14:textId="77777777" w:rsidR="00B731C3" w:rsidRPr="00820248" w:rsidRDefault="00B731C3" w:rsidP="00B731C3">
      <w:pPr>
        <w:pStyle w:val="muudetavtekst"/>
        <w:rPr>
          <w:rFonts w:asciiTheme="minorHAnsi" w:hAnsiTheme="minorHAnsi" w:cstheme="minorBidi"/>
        </w:rPr>
      </w:pPr>
      <w:r>
        <w:rPr>
          <w:rFonts w:asciiTheme="minorHAnsi" w:hAnsiTheme="minorHAnsi" w:cstheme="minorBidi"/>
        </w:rPr>
        <w:t xml:space="preserve">Mõju </w:t>
      </w:r>
      <w:r w:rsidRPr="00820248">
        <w:rPr>
          <w:rFonts w:asciiTheme="minorHAnsi" w:hAnsiTheme="minorHAnsi" w:cstheme="minorBidi"/>
        </w:rPr>
        <w:t>riigieelarvele:</w:t>
      </w:r>
    </w:p>
    <w:p w14:paraId="08F9EC9C" w14:textId="77777777" w:rsidR="00B731C3" w:rsidRPr="00820248" w:rsidRDefault="00B731C3" w:rsidP="00B731C3">
      <w:pPr>
        <w:pStyle w:val="muudetavtekst"/>
        <w:numPr>
          <w:ilvl w:val="0"/>
          <w:numId w:val="43"/>
        </w:numPr>
        <w:rPr>
          <w:rFonts w:asciiTheme="minorHAnsi" w:hAnsiTheme="minorHAnsi" w:cstheme="minorBidi"/>
        </w:rPr>
      </w:pPr>
      <w:r w:rsidRPr="00820248">
        <w:rPr>
          <w:rFonts w:asciiTheme="minorHAnsi" w:hAnsiTheme="minorHAnsi" w:cstheme="minorBidi"/>
        </w:rPr>
        <w:t>investeeringud avaliku sektori hoonetesse: 200–400 miljonit eurot igal aastal, et täita renoveerimiseesmärki;</w:t>
      </w:r>
    </w:p>
    <w:p w14:paraId="76F6DFA8" w14:textId="77777777" w:rsidR="00B731C3" w:rsidRPr="00E24767" w:rsidRDefault="00B731C3" w:rsidP="00B731C3">
      <w:pPr>
        <w:pStyle w:val="muudetavtekst"/>
        <w:numPr>
          <w:ilvl w:val="0"/>
          <w:numId w:val="43"/>
        </w:numPr>
        <w:rPr>
          <w:rFonts w:asciiTheme="minorHAnsi" w:hAnsiTheme="minorHAnsi" w:cstheme="minorBidi"/>
        </w:rPr>
      </w:pPr>
      <w:r w:rsidRPr="3CD4651F">
        <w:rPr>
          <w:rFonts w:asciiTheme="minorHAnsi" w:hAnsiTheme="minorHAnsi" w:cstheme="minorBidi"/>
        </w:rPr>
        <w:t xml:space="preserve">TTJA </w:t>
      </w:r>
      <w:r>
        <w:rPr>
          <w:rFonts w:asciiTheme="minorHAnsi" w:hAnsiTheme="minorHAnsi" w:cstheme="minorBidi"/>
        </w:rPr>
        <w:t xml:space="preserve">kuni 4 </w:t>
      </w:r>
      <w:r w:rsidRPr="3CD4651F">
        <w:rPr>
          <w:rFonts w:asciiTheme="minorHAnsi" w:hAnsiTheme="minorHAnsi" w:cstheme="minorBidi"/>
        </w:rPr>
        <w:t xml:space="preserve">ametikohta </w:t>
      </w:r>
      <w:r>
        <w:rPr>
          <w:rFonts w:asciiTheme="minorHAnsi" w:hAnsiTheme="minorHAnsi" w:cstheme="minorBidi"/>
        </w:rPr>
        <w:t xml:space="preserve">kuluga kuni 200 000 aastas. </w:t>
      </w:r>
      <w:r w:rsidRPr="3CD4651F">
        <w:rPr>
          <w:rFonts w:asciiTheme="minorHAnsi" w:hAnsiTheme="minorHAnsi" w:cstheme="minorBidi"/>
        </w:rPr>
        <w:t>(koos maksude ja töövahendite kuluga);</w:t>
      </w:r>
    </w:p>
    <w:p w14:paraId="77EF18B4" w14:textId="77777777" w:rsidR="00B731C3" w:rsidRPr="00820248" w:rsidRDefault="00B731C3" w:rsidP="00B731C3">
      <w:pPr>
        <w:pStyle w:val="muudetavtekst"/>
        <w:numPr>
          <w:ilvl w:val="0"/>
          <w:numId w:val="43"/>
        </w:numPr>
        <w:rPr>
          <w:rFonts w:asciiTheme="minorHAnsi" w:hAnsiTheme="minorHAnsi" w:cstheme="minorBidi"/>
        </w:rPr>
      </w:pPr>
      <w:r w:rsidRPr="00820248">
        <w:rPr>
          <w:rFonts w:asciiTheme="minorHAnsi" w:hAnsiTheme="minorHAnsi" w:cstheme="minorBidi"/>
        </w:rPr>
        <w:t xml:space="preserve">avaliku sektori asutuste </w:t>
      </w:r>
      <w:r w:rsidRPr="00E24767">
        <w:rPr>
          <w:rFonts w:asciiTheme="minorHAnsi" w:hAnsiTheme="minorHAnsi" w:cstheme="minorBidi"/>
        </w:rPr>
        <w:t>energiakasutuse seire</w:t>
      </w:r>
      <w:r w:rsidRPr="00820248">
        <w:rPr>
          <w:rFonts w:asciiTheme="minorHAnsi" w:hAnsiTheme="minorHAnsi" w:cstheme="minorBidi"/>
        </w:rPr>
        <w:t xml:space="preserve"> loomine – 350 000 eurot </w:t>
      </w:r>
    </w:p>
    <w:p w14:paraId="2A93A827" w14:textId="77777777" w:rsidR="00B731C3" w:rsidRDefault="00B731C3" w:rsidP="00B731C3">
      <w:pPr>
        <w:pStyle w:val="muudetavtekst"/>
        <w:rPr>
          <w:rFonts w:asciiTheme="minorHAnsi" w:hAnsiTheme="minorHAnsi" w:cstheme="minorBidi"/>
        </w:rPr>
      </w:pPr>
    </w:p>
    <w:p w14:paraId="7DA6B642" w14:textId="77777777" w:rsidR="00B731C3" w:rsidRPr="00D9445B" w:rsidRDefault="00B731C3" w:rsidP="00B731C3">
      <w:pPr>
        <w:pStyle w:val="muudetavtekst"/>
        <w:rPr>
          <w:rFonts w:asciiTheme="minorHAnsi" w:hAnsiTheme="minorHAnsi" w:cstheme="minorBidi"/>
          <w:b/>
          <w:bCs/>
        </w:rPr>
      </w:pPr>
      <w:r w:rsidRPr="00D9445B">
        <w:rPr>
          <w:rFonts w:asciiTheme="minorHAnsi" w:hAnsiTheme="minorHAnsi" w:cstheme="minorBidi"/>
          <w:b/>
          <w:bCs/>
        </w:rPr>
        <w:t>7. Muud otsesed mõjud ja kulud</w:t>
      </w:r>
    </w:p>
    <w:p w14:paraId="7FAAF6DC" w14:textId="77777777" w:rsidR="00B731C3" w:rsidRDefault="00B731C3" w:rsidP="00B731C3">
      <w:pPr>
        <w:pStyle w:val="muudetavtekst"/>
        <w:rPr>
          <w:rFonts w:asciiTheme="minorHAnsi" w:hAnsiTheme="minorHAnsi" w:cstheme="minorBidi"/>
        </w:rPr>
      </w:pPr>
      <w:r>
        <w:rPr>
          <w:rFonts w:asciiTheme="minorHAnsi" w:hAnsiTheme="minorHAnsi" w:cstheme="minorBidi"/>
        </w:rPr>
        <w:t xml:space="preserve">Energiatõhususe direktiiv sätestab riikliku kumulatiivse energiatõhususe uue eesmärgi – 21 280 GWh, mis on juba Eesti õigusruumi üle võetud </w:t>
      </w:r>
      <w:r w:rsidRPr="007873C6">
        <w:rPr>
          <w:rFonts w:asciiTheme="minorHAnsi" w:hAnsiTheme="minorHAnsi" w:cstheme="minorBidi"/>
        </w:rPr>
        <w:t>22.11.2023</w:t>
      </w:r>
      <w:r>
        <w:rPr>
          <w:rFonts w:asciiTheme="minorHAnsi" w:hAnsiTheme="minorHAnsi" w:cstheme="minorBidi"/>
        </w:rPr>
        <w:t xml:space="preserve"> Vabariigi Valitsuse määruse nr.104 „</w:t>
      </w:r>
      <w:r w:rsidRPr="007873C6">
        <w:rPr>
          <w:rFonts w:asciiTheme="minorHAnsi" w:hAnsiTheme="minorHAnsi" w:cstheme="minorBidi"/>
        </w:rPr>
        <w:t>Energiasäästukohustuse jaotuskava</w:t>
      </w:r>
      <w:r>
        <w:rPr>
          <w:rFonts w:asciiTheme="minorHAnsi" w:hAnsiTheme="minorHAnsi" w:cstheme="minorBidi"/>
          <w:vertAlign w:val="superscript"/>
        </w:rPr>
        <w:t>1</w:t>
      </w:r>
      <w:r>
        <w:rPr>
          <w:rFonts w:asciiTheme="minorHAnsi" w:hAnsiTheme="minorHAnsi" w:cstheme="minorBidi"/>
        </w:rPr>
        <w:t>“</w:t>
      </w:r>
      <w:r>
        <w:rPr>
          <w:rStyle w:val="Allmrkuseviide"/>
          <w:rFonts w:asciiTheme="minorHAnsi" w:hAnsiTheme="minorHAnsi" w:cstheme="minorBidi"/>
        </w:rPr>
        <w:footnoteReference w:id="77"/>
      </w:r>
      <w:r>
        <w:rPr>
          <w:rFonts w:asciiTheme="minorHAnsi" w:hAnsiTheme="minorHAnsi" w:cstheme="minorBidi"/>
        </w:rPr>
        <w:t xml:space="preserve"> §-ga 2 „</w:t>
      </w:r>
      <w:r w:rsidRPr="009A490B">
        <w:rPr>
          <w:rFonts w:asciiTheme="minorHAnsi" w:hAnsiTheme="minorHAnsi" w:cstheme="minorBidi"/>
        </w:rPr>
        <w:t>Üldine energiasäästukohustus ajavahemikul 1. jaanuarist 2021. a kuni 31. detsembrini 2030. a on 21 295 G</w:t>
      </w:r>
      <w:r>
        <w:rPr>
          <w:rFonts w:asciiTheme="minorHAnsi" w:hAnsiTheme="minorHAnsi" w:cstheme="minorBidi"/>
        </w:rPr>
        <w:t>Wh“.</w:t>
      </w:r>
    </w:p>
    <w:p w14:paraId="5CCD63E9" w14:textId="77777777" w:rsidR="00B731C3" w:rsidRDefault="00B731C3" w:rsidP="00B731C3">
      <w:pPr>
        <w:pStyle w:val="muudetavtekst"/>
        <w:rPr>
          <w:rFonts w:asciiTheme="minorHAnsi" w:hAnsiTheme="minorHAnsi" w:cstheme="minorBidi"/>
        </w:rPr>
      </w:pPr>
      <w:r>
        <w:rPr>
          <w:rFonts w:asciiTheme="minorHAnsi" w:hAnsiTheme="minorHAnsi" w:cstheme="minorBidi"/>
        </w:rPr>
        <w:t>Direktiivi ülevõtmise ajal ajakohastati uute andmetega (nt primaarenergia ja lõppenergia tarbimine) ja kumulatiivse energiasäästu kohustus vähenes 15 GWh võrra.</w:t>
      </w:r>
    </w:p>
    <w:p w14:paraId="4E7EC393" w14:textId="77777777" w:rsidR="00B731C3" w:rsidRDefault="00B731C3" w:rsidP="00B731C3">
      <w:pPr>
        <w:pStyle w:val="muudetavtekst"/>
        <w:rPr>
          <w:rFonts w:asciiTheme="minorHAnsi" w:hAnsiTheme="minorHAnsi" w:cstheme="minorBidi"/>
        </w:rPr>
      </w:pPr>
    </w:p>
    <w:p w14:paraId="7021C7C0" w14:textId="77777777" w:rsidR="00B731C3" w:rsidRDefault="00B731C3" w:rsidP="00B731C3">
      <w:pPr>
        <w:pStyle w:val="muudetavtekst"/>
        <w:rPr>
          <w:rFonts w:asciiTheme="minorHAnsi" w:hAnsiTheme="minorHAnsi" w:cstheme="minorBidi"/>
        </w:rPr>
      </w:pPr>
      <w:r>
        <w:rPr>
          <w:rFonts w:asciiTheme="minorHAnsi" w:hAnsiTheme="minorHAnsi" w:cstheme="minorBidi"/>
        </w:rPr>
        <w:t>Määruse nr 104 lisa</w:t>
      </w:r>
      <w:r>
        <w:rPr>
          <w:rStyle w:val="Allmrkuseviide"/>
          <w:rFonts w:asciiTheme="minorHAnsi" w:hAnsiTheme="minorHAnsi" w:cstheme="minorBidi"/>
        </w:rPr>
        <w:footnoteReference w:id="78"/>
      </w:r>
      <w:r>
        <w:rPr>
          <w:rFonts w:asciiTheme="minorHAnsi" w:hAnsiTheme="minorHAnsi" w:cstheme="minorBidi"/>
        </w:rPr>
        <w:t xml:space="preserve"> järgi on poliitikameetmetega tagatud energiasäästu 13 081 GWh ehk puudu on ~8000 GWh.</w:t>
      </w:r>
    </w:p>
    <w:p w14:paraId="5AF8F96C" w14:textId="77777777" w:rsidR="00B731C3" w:rsidRDefault="00B731C3" w:rsidP="00B731C3">
      <w:pPr>
        <w:pStyle w:val="muudetavtekst"/>
        <w:rPr>
          <w:rFonts w:asciiTheme="minorHAnsi" w:hAnsiTheme="minorHAnsi" w:cstheme="minorBidi"/>
        </w:rPr>
      </w:pPr>
      <w:r>
        <w:rPr>
          <w:rFonts w:asciiTheme="minorHAnsi" w:hAnsiTheme="minorHAnsi" w:cstheme="minorBidi"/>
        </w:rPr>
        <w:t>Võrreldes määruse koostamise ajaga on uute meetmetena lisandunud 01.01.2025 rakendunud mootorsõidukimaks ja sõiduki registreerimistasu, mille mõju energiatõhususele ~800 GWh.</w:t>
      </w:r>
    </w:p>
    <w:p w14:paraId="1C859B00" w14:textId="77777777" w:rsidR="00B731C3" w:rsidRDefault="00B731C3" w:rsidP="00B731C3">
      <w:pPr>
        <w:pStyle w:val="muudetavtekst"/>
        <w:rPr>
          <w:rFonts w:asciiTheme="minorHAnsi" w:hAnsiTheme="minorHAnsi" w:cstheme="minorBidi"/>
        </w:rPr>
      </w:pPr>
      <w:r>
        <w:rPr>
          <w:rFonts w:asciiTheme="minorHAnsi" w:hAnsiTheme="minorHAnsi" w:cstheme="minorBidi"/>
        </w:rPr>
        <w:t>Määruse nr 104 koostamise ajal ei arvestatud juurde 01.01.2024 rakendunud käibemaksu tõusu, mis nüüd on korrigeeritud. Käibemaksu mõju energiakandjate (elekter, maagaas, kütused) kaudu kumulatiivsele energiasäästule on 1432 GWh.</w:t>
      </w:r>
    </w:p>
    <w:p w14:paraId="4C97FEA7" w14:textId="77777777" w:rsidR="00B731C3" w:rsidRDefault="00B731C3" w:rsidP="00B731C3">
      <w:pPr>
        <w:pStyle w:val="muudetavtekst"/>
        <w:rPr>
          <w:rFonts w:asciiTheme="minorHAnsi" w:hAnsiTheme="minorHAnsi" w:cstheme="minorBidi"/>
        </w:rPr>
      </w:pPr>
      <w:r>
        <w:rPr>
          <w:rFonts w:asciiTheme="minorHAnsi" w:hAnsiTheme="minorHAnsi" w:cstheme="minorBidi"/>
        </w:rPr>
        <w:t>Kokku on maksumuudatuste mõju kumulatiivsele energiatõhususe eesmärgi saavutamisele positiivne, tuues kaasa ~ 2232 GWh säästu.</w:t>
      </w:r>
    </w:p>
    <w:p w14:paraId="7E113A96" w14:textId="77777777" w:rsidR="00B731C3" w:rsidRDefault="00B731C3" w:rsidP="00B731C3">
      <w:pPr>
        <w:pStyle w:val="muudetavtekst"/>
        <w:rPr>
          <w:rFonts w:asciiTheme="minorHAnsi" w:hAnsiTheme="minorHAnsi" w:cstheme="minorBidi"/>
        </w:rPr>
      </w:pPr>
    </w:p>
    <w:p w14:paraId="7601783C" w14:textId="77777777" w:rsidR="00B731C3" w:rsidRDefault="00B731C3" w:rsidP="00B731C3">
      <w:pPr>
        <w:pStyle w:val="muudetavtekst"/>
        <w:rPr>
          <w:rFonts w:asciiTheme="minorHAnsi" w:hAnsiTheme="minorHAnsi" w:cstheme="minorBidi"/>
        </w:rPr>
      </w:pPr>
      <w:r>
        <w:rPr>
          <w:rFonts w:asciiTheme="minorHAnsi" w:hAnsiTheme="minorHAnsi" w:cstheme="minorBidi"/>
        </w:rPr>
        <w:t xml:space="preserve">Kokku on poliitikameetmetega kaetud kumulatiivset energiasäästust 15 313 GWh ehk puudu on ~ 6000 GWh. Vaadates kumulatiivse energiasäästu jagunemist perioodile 2021–2030 on </w:t>
      </w:r>
      <w:r>
        <w:rPr>
          <w:rFonts w:asciiTheme="minorHAnsi" w:hAnsiTheme="minorHAnsi" w:cstheme="minorBidi"/>
        </w:rPr>
        <w:lastRenderedPageBreak/>
        <w:t xml:space="preserve">Eestil energiasäästu kohustus kaetud aastani 2027. Aastatel 20282030 tuleb veel võimalikele poliitikameetmetele (nt avalike hoonete renoveerimine) leida lisarahastust või rakendada uusi poliitikameetmeid (nt vabatahtlik energiasääst ettevõtlussektorites). Võimalikke uusi poliitikameetmeid käsitles </w:t>
      </w:r>
      <w:r w:rsidRPr="00C8287A">
        <w:rPr>
          <w:rFonts w:asciiTheme="minorHAnsi" w:hAnsiTheme="minorHAnsi" w:cstheme="minorBidi"/>
        </w:rPr>
        <w:t xml:space="preserve">Euroopa Komisjoni toel </w:t>
      </w:r>
      <w:r>
        <w:rPr>
          <w:rFonts w:asciiTheme="minorHAnsi" w:hAnsiTheme="minorHAnsi" w:cstheme="minorBidi"/>
        </w:rPr>
        <w:t>ellu viidud</w:t>
      </w:r>
      <w:r w:rsidRPr="00C8287A">
        <w:rPr>
          <w:rFonts w:asciiTheme="minorHAnsi" w:hAnsiTheme="minorHAnsi" w:cstheme="minorBidi"/>
        </w:rPr>
        <w:t xml:space="preserve"> projekt </w:t>
      </w:r>
      <w:r>
        <w:rPr>
          <w:rFonts w:asciiTheme="minorHAnsi" w:hAnsiTheme="minorHAnsi" w:cstheme="minorBidi"/>
        </w:rPr>
        <w:t>„</w:t>
      </w:r>
      <w:r w:rsidRPr="00B63258">
        <w:rPr>
          <w:rFonts w:asciiTheme="minorHAnsi" w:hAnsiTheme="minorHAnsi" w:cstheme="minorBidi"/>
        </w:rPr>
        <w:t>Support to the renovation wave - energy efficiency pathways and energy saving obligation in Estonia</w:t>
      </w:r>
      <w:r>
        <w:rPr>
          <w:rFonts w:asciiTheme="minorHAnsi" w:hAnsiTheme="minorHAnsi" w:cstheme="minorBidi"/>
        </w:rPr>
        <w:t>“</w:t>
      </w:r>
      <w:r>
        <w:rPr>
          <w:rStyle w:val="Allmrkuseviide"/>
          <w:rFonts w:asciiTheme="minorHAnsi" w:hAnsiTheme="minorHAnsi" w:cstheme="minorBidi"/>
        </w:rPr>
        <w:footnoteReference w:id="79"/>
      </w:r>
      <w:r>
        <w:rPr>
          <w:rFonts w:asciiTheme="minorHAnsi" w:hAnsiTheme="minorHAnsi" w:cstheme="minorBidi"/>
        </w:rPr>
        <w:t>.</w:t>
      </w:r>
    </w:p>
    <w:p w14:paraId="316E9DCB" w14:textId="77777777" w:rsidR="00B731C3" w:rsidRPr="00DB4996" w:rsidRDefault="00B731C3" w:rsidP="00B731C3">
      <w:pPr>
        <w:pStyle w:val="Vahedeta"/>
        <w:rPr>
          <w:rFonts w:cstheme="minorHAnsi"/>
          <w:b/>
          <w:bCs/>
          <w:sz w:val="24"/>
          <w:szCs w:val="24"/>
          <w:bdr w:val="none" w:sz="0" w:space="0" w:color="auto" w:frame="1"/>
          <w:lang w:eastAsia="et-EE"/>
        </w:rPr>
      </w:pPr>
    </w:p>
    <w:p w14:paraId="7BA8424B" w14:textId="77777777" w:rsidR="00B731C3" w:rsidRPr="009A655B" w:rsidRDefault="00B731C3" w:rsidP="00B731C3">
      <w:pPr>
        <w:pStyle w:val="Vahedeta"/>
        <w:rPr>
          <w:rFonts w:cstheme="minorHAnsi"/>
          <w:b/>
          <w:bCs/>
          <w:sz w:val="24"/>
          <w:szCs w:val="24"/>
          <w:bdr w:val="none" w:sz="0" w:space="0" w:color="auto" w:frame="1"/>
          <w:lang w:eastAsia="et-EE"/>
        </w:rPr>
      </w:pPr>
      <w:r w:rsidRPr="00DB4996">
        <w:rPr>
          <w:rFonts w:cstheme="minorHAnsi"/>
          <w:b/>
          <w:bCs/>
          <w:sz w:val="24"/>
          <w:szCs w:val="24"/>
          <w:bdr w:val="none" w:sz="0" w:space="0" w:color="auto" w:frame="1"/>
          <w:lang w:eastAsia="et-EE"/>
        </w:rPr>
        <w:t>8. Rakendusaktid</w:t>
      </w:r>
    </w:p>
    <w:p w14:paraId="01043761" w14:textId="77777777" w:rsidR="00B731C3" w:rsidRDefault="00B731C3" w:rsidP="00B731C3">
      <w:pPr>
        <w:spacing w:after="0" w:line="240" w:lineRule="auto"/>
        <w:jc w:val="both"/>
        <w:rPr>
          <w:rFonts w:cstheme="minorHAnsi"/>
          <w:sz w:val="24"/>
          <w:szCs w:val="24"/>
        </w:rPr>
      </w:pPr>
    </w:p>
    <w:p w14:paraId="19CD28BB" w14:textId="77777777" w:rsidR="00B731C3" w:rsidRDefault="00B731C3" w:rsidP="00B731C3">
      <w:pPr>
        <w:spacing w:after="0" w:line="240" w:lineRule="auto"/>
        <w:jc w:val="both"/>
        <w:rPr>
          <w:rFonts w:cstheme="minorHAnsi"/>
          <w:sz w:val="24"/>
          <w:szCs w:val="24"/>
        </w:rPr>
      </w:pPr>
      <w:r w:rsidRPr="00DB4996">
        <w:rPr>
          <w:rFonts w:cstheme="minorHAnsi"/>
          <w:sz w:val="24"/>
          <w:szCs w:val="24"/>
        </w:rPr>
        <w:t xml:space="preserve">Eelnõule lisatakse </w:t>
      </w:r>
      <w:r>
        <w:rPr>
          <w:rFonts w:cstheme="minorHAnsi"/>
          <w:sz w:val="24"/>
          <w:szCs w:val="24"/>
        </w:rPr>
        <w:t xml:space="preserve">järgmiste </w:t>
      </w:r>
      <w:r w:rsidRPr="00DB4996">
        <w:rPr>
          <w:rFonts w:cstheme="minorHAnsi"/>
          <w:sz w:val="24"/>
          <w:szCs w:val="24"/>
        </w:rPr>
        <w:t>rakendusakti</w:t>
      </w:r>
      <w:r>
        <w:rPr>
          <w:rFonts w:cstheme="minorHAnsi"/>
          <w:sz w:val="24"/>
          <w:szCs w:val="24"/>
        </w:rPr>
        <w:t>de</w:t>
      </w:r>
      <w:r w:rsidRPr="00DB4996">
        <w:rPr>
          <w:rFonts w:cstheme="minorHAnsi"/>
          <w:sz w:val="24"/>
          <w:szCs w:val="24"/>
        </w:rPr>
        <w:t xml:space="preserve"> kavand</w:t>
      </w:r>
      <w:r>
        <w:rPr>
          <w:rFonts w:cstheme="minorHAnsi"/>
          <w:sz w:val="24"/>
          <w:szCs w:val="24"/>
        </w:rPr>
        <w:t>id (lisa 2):</w:t>
      </w:r>
    </w:p>
    <w:p w14:paraId="6EA05304" w14:textId="77777777" w:rsidR="00B731C3" w:rsidRDefault="00B731C3" w:rsidP="00B731C3">
      <w:pPr>
        <w:pStyle w:val="Loendilik"/>
        <w:numPr>
          <w:ilvl w:val="0"/>
          <w:numId w:val="39"/>
        </w:numPr>
        <w:spacing w:after="0" w:line="240" w:lineRule="auto"/>
        <w:jc w:val="both"/>
        <w:rPr>
          <w:rFonts w:cstheme="minorHAnsi"/>
          <w:sz w:val="24"/>
          <w:szCs w:val="24"/>
        </w:rPr>
      </w:pPr>
      <w:r>
        <w:rPr>
          <w:rFonts w:cstheme="minorHAnsi"/>
          <w:sz w:val="24"/>
          <w:szCs w:val="24"/>
        </w:rPr>
        <w:t>majandus ja taristuministri määruse nr 76 „Energiaauditit miinimumnõuded“ muutmine – täpsustatakse pädevusi ja sektoreid;</w:t>
      </w:r>
    </w:p>
    <w:p w14:paraId="179DB7EE" w14:textId="77777777" w:rsidR="00B731C3" w:rsidRDefault="00B731C3" w:rsidP="00B731C3">
      <w:pPr>
        <w:pStyle w:val="Loendilik"/>
        <w:numPr>
          <w:ilvl w:val="0"/>
          <w:numId w:val="39"/>
        </w:numPr>
        <w:spacing w:after="0" w:line="240" w:lineRule="auto"/>
        <w:jc w:val="both"/>
        <w:rPr>
          <w:rFonts w:cstheme="minorHAnsi"/>
          <w:sz w:val="24"/>
          <w:szCs w:val="24"/>
        </w:rPr>
      </w:pPr>
      <w:r>
        <w:rPr>
          <w:rFonts w:cstheme="minorHAnsi"/>
          <w:sz w:val="24"/>
          <w:szCs w:val="24"/>
        </w:rPr>
        <w:t>taristuministri uus määrus, kuidas arvutada kuluneutraalsust sotsiaaleluruumide rekonstrueerimisel;</w:t>
      </w:r>
    </w:p>
    <w:p w14:paraId="18A5DDE2" w14:textId="77777777" w:rsidR="00B731C3" w:rsidRDefault="00B731C3" w:rsidP="00B731C3">
      <w:pPr>
        <w:pStyle w:val="Loendilik"/>
        <w:numPr>
          <w:ilvl w:val="0"/>
          <w:numId w:val="39"/>
        </w:numPr>
        <w:spacing w:after="0" w:line="240" w:lineRule="auto"/>
        <w:jc w:val="both"/>
        <w:rPr>
          <w:rFonts w:cstheme="minorHAnsi"/>
          <w:sz w:val="24"/>
          <w:szCs w:val="24"/>
        </w:rPr>
      </w:pPr>
      <w:r>
        <w:rPr>
          <w:rFonts w:cstheme="minorHAnsi"/>
          <w:sz w:val="24"/>
          <w:szCs w:val="24"/>
        </w:rPr>
        <w:t>t</w:t>
      </w:r>
      <w:r w:rsidRPr="005F5945">
        <w:rPr>
          <w:rFonts w:cstheme="minorHAnsi"/>
          <w:sz w:val="24"/>
          <w:szCs w:val="24"/>
        </w:rPr>
        <w:t>aristuministri uus määrus, mis täpsustab</w:t>
      </w:r>
      <w:r>
        <w:rPr>
          <w:rFonts w:cstheme="minorHAnsi"/>
          <w:sz w:val="24"/>
          <w:szCs w:val="24"/>
        </w:rPr>
        <w:t>,</w:t>
      </w:r>
      <w:r w:rsidRPr="005F5945">
        <w:rPr>
          <w:rFonts w:cstheme="minorHAnsi"/>
          <w:sz w:val="24"/>
          <w:szCs w:val="24"/>
        </w:rPr>
        <w:t xml:space="preserve"> kuidas arvutada avaliku sektori olemasolevate hoonete rekonstrueerimise majandusliku olelusringi</w:t>
      </w:r>
      <w:r>
        <w:rPr>
          <w:rFonts w:cstheme="minorHAnsi"/>
          <w:sz w:val="24"/>
          <w:szCs w:val="24"/>
        </w:rPr>
        <w:t xml:space="preserve"> CO</w:t>
      </w:r>
      <w:r>
        <w:rPr>
          <w:rFonts w:cstheme="minorHAnsi"/>
          <w:sz w:val="24"/>
          <w:szCs w:val="24"/>
          <w:vertAlign w:val="subscript"/>
        </w:rPr>
        <w:t>2</w:t>
      </w:r>
      <w:r>
        <w:rPr>
          <w:rFonts w:cstheme="minorHAnsi"/>
          <w:sz w:val="24"/>
          <w:szCs w:val="24"/>
        </w:rPr>
        <w:t xml:space="preserve"> heidet;</w:t>
      </w:r>
    </w:p>
    <w:p w14:paraId="2E3DF853" w14:textId="77777777" w:rsidR="00B731C3" w:rsidRDefault="00B731C3" w:rsidP="00B731C3">
      <w:pPr>
        <w:pStyle w:val="Loendilik"/>
        <w:numPr>
          <w:ilvl w:val="0"/>
          <w:numId w:val="39"/>
        </w:numPr>
        <w:spacing w:after="0" w:line="240" w:lineRule="auto"/>
        <w:jc w:val="both"/>
        <w:rPr>
          <w:rFonts w:cstheme="minorHAnsi"/>
          <w:sz w:val="24"/>
          <w:szCs w:val="24"/>
        </w:rPr>
      </w:pPr>
      <w:r>
        <w:rPr>
          <w:rFonts w:cstheme="minorHAnsi"/>
          <w:sz w:val="24"/>
          <w:szCs w:val="24"/>
        </w:rPr>
        <w:t>taristuministri uus määrus, mis sätestab nõuded andmekeskustele ning andmetele, mida tuleb raporteerida Euroopa andmekeskuste andmebaasi;</w:t>
      </w:r>
    </w:p>
    <w:p w14:paraId="1A6C5E19" w14:textId="77777777" w:rsidR="00B731C3" w:rsidRPr="005F5945" w:rsidRDefault="00B731C3" w:rsidP="00B731C3">
      <w:pPr>
        <w:pStyle w:val="Loendilik"/>
        <w:numPr>
          <w:ilvl w:val="0"/>
          <w:numId w:val="39"/>
        </w:numPr>
        <w:spacing w:after="0" w:line="240" w:lineRule="auto"/>
        <w:jc w:val="both"/>
        <w:rPr>
          <w:rFonts w:cstheme="minorHAnsi"/>
          <w:sz w:val="24"/>
          <w:szCs w:val="24"/>
        </w:rPr>
      </w:pPr>
      <w:r>
        <w:rPr>
          <w:rFonts w:cstheme="minorHAnsi"/>
          <w:sz w:val="24"/>
          <w:szCs w:val="24"/>
        </w:rPr>
        <w:t>tühistatakse 1999 majandusministri teadaanne „</w:t>
      </w:r>
      <w:r w:rsidRPr="002D411C">
        <w:rPr>
          <w:rFonts w:cstheme="minorHAnsi"/>
          <w:sz w:val="24"/>
          <w:szCs w:val="24"/>
        </w:rPr>
        <w:t>Soojusvarustuse kulude arvestamise ja jaotamise metoodika</w:t>
      </w:r>
      <w:r>
        <w:rPr>
          <w:rFonts w:cstheme="minorHAnsi"/>
          <w:sz w:val="24"/>
          <w:szCs w:val="24"/>
        </w:rPr>
        <w:t>“</w:t>
      </w:r>
      <w:r>
        <w:rPr>
          <w:rStyle w:val="Allmrkuseviide"/>
          <w:rFonts w:cstheme="minorHAnsi"/>
          <w:sz w:val="24"/>
          <w:szCs w:val="24"/>
        </w:rPr>
        <w:footnoteReference w:id="80"/>
      </w:r>
      <w:r>
        <w:rPr>
          <w:rFonts w:cstheme="minorHAnsi"/>
          <w:sz w:val="24"/>
          <w:szCs w:val="24"/>
        </w:rPr>
        <w:t xml:space="preserve"> ning asendatakse see määrusega.</w:t>
      </w:r>
    </w:p>
    <w:p w14:paraId="4A62A5AB" w14:textId="77777777" w:rsidR="00B731C3" w:rsidRDefault="00B731C3" w:rsidP="00B731C3">
      <w:pPr>
        <w:spacing w:after="0" w:line="240" w:lineRule="auto"/>
        <w:jc w:val="both"/>
        <w:rPr>
          <w:rFonts w:eastAsia="Times New Roman" w:cstheme="minorHAnsi"/>
          <w:b/>
          <w:color w:val="000000"/>
          <w:sz w:val="24"/>
          <w:szCs w:val="24"/>
          <w:lang w:eastAsia="et-EE"/>
        </w:rPr>
      </w:pPr>
    </w:p>
    <w:p w14:paraId="457A80FD" w14:textId="77777777" w:rsidR="00B731C3" w:rsidRPr="009A655B" w:rsidRDefault="00B731C3" w:rsidP="00B731C3">
      <w:pPr>
        <w:spacing w:after="0" w:line="240" w:lineRule="auto"/>
        <w:jc w:val="both"/>
        <w:rPr>
          <w:rFonts w:cstheme="minorHAnsi"/>
          <w:color w:val="202020"/>
          <w:sz w:val="24"/>
          <w:szCs w:val="24"/>
        </w:rPr>
      </w:pPr>
      <w:r w:rsidRPr="00DB4996">
        <w:rPr>
          <w:rFonts w:eastAsia="Times New Roman" w:cstheme="minorHAnsi"/>
          <w:b/>
          <w:color w:val="000000"/>
          <w:sz w:val="24"/>
          <w:szCs w:val="24"/>
          <w:lang w:eastAsia="et-EE"/>
        </w:rPr>
        <w:t>9. Seaduse jõustumine</w:t>
      </w:r>
    </w:p>
    <w:p w14:paraId="07B34B05" w14:textId="77777777" w:rsidR="00B731C3" w:rsidRDefault="00B731C3" w:rsidP="00B731C3">
      <w:pPr>
        <w:spacing w:after="0" w:line="240" w:lineRule="auto"/>
        <w:jc w:val="both"/>
        <w:rPr>
          <w:rFonts w:eastAsia="Times New Roman" w:cstheme="minorHAnsi"/>
          <w:bCs/>
          <w:color w:val="000000"/>
          <w:sz w:val="24"/>
          <w:szCs w:val="24"/>
          <w:lang w:eastAsia="et-EE"/>
        </w:rPr>
      </w:pPr>
    </w:p>
    <w:p w14:paraId="0451C1E2" w14:textId="77777777" w:rsidR="00B731C3" w:rsidRPr="00DB4996" w:rsidRDefault="00B731C3" w:rsidP="00B731C3">
      <w:pPr>
        <w:spacing w:before="240" w:after="0" w:line="240" w:lineRule="auto"/>
        <w:jc w:val="both"/>
        <w:rPr>
          <w:rFonts w:ascii="Times New Roman" w:eastAsia="Times New Roman" w:hAnsi="Times New Roman" w:cs="Times New Roman"/>
          <w:sz w:val="24"/>
          <w:szCs w:val="24"/>
        </w:rPr>
      </w:pPr>
      <w:r w:rsidRPr="6BB1B18E">
        <w:rPr>
          <w:rFonts w:eastAsia="Times New Roman"/>
          <w:color w:val="000000" w:themeColor="text1"/>
          <w:sz w:val="24"/>
          <w:szCs w:val="24"/>
          <w:lang w:eastAsia="et-EE"/>
        </w:rPr>
        <w:t xml:space="preserve">Seadus jõustub üldises korras. </w:t>
      </w:r>
      <w:r w:rsidRPr="6BB1B18E">
        <w:rPr>
          <w:rFonts w:ascii="Times New Roman" w:eastAsia="Times New Roman" w:hAnsi="Times New Roman" w:cs="Times New Roman"/>
          <w:sz w:val="24"/>
          <w:szCs w:val="24"/>
        </w:rPr>
        <w:t xml:space="preserve">Direktiivi kohaselt peab liikmesriik direktiivi hiljemalt 2025. aasta </w:t>
      </w:r>
      <w:r>
        <w:rPr>
          <w:rFonts w:ascii="Times New Roman" w:eastAsia="Times New Roman" w:hAnsi="Times New Roman" w:cs="Times New Roman"/>
          <w:sz w:val="24"/>
          <w:szCs w:val="24"/>
        </w:rPr>
        <w:t xml:space="preserve">11.10.2025 </w:t>
      </w:r>
      <w:r w:rsidRPr="6BB1B18E">
        <w:rPr>
          <w:rFonts w:ascii="Times New Roman" w:eastAsia="Times New Roman" w:hAnsi="Times New Roman" w:cs="Times New Roman"/>
          <w:sz w:val="24"/>
          <w:szCs w:val="24"/>
        </w:rPr>
        <w:t>siseriiklikusse õigusse üle võtma.</w:t>
      </w:r>
    </w:p>
    <w:p w14:paraId="4F879E04" w14:textId="77777777" w:rsidR="00B731C3" w:rsidRPr="00DB4996" w:rsidRDefault="00B731C3" w:rsidP="00B731C3">
      <w:pPr>
        <w:spacing w:after="0" w:line="240" w:lineRule="auto"/>
        <w:jc w:val="both"/>
        <w:rPr>
          <w:rFonts w:eastAsia="Times New Roman"/>
          <w:color w:val="000000"/>
          <w:sz w:val="24"/>
          <w:szCs w:val="24"/>
          <w:lang w:eastAsia="et-EE"/>
        </w:rPr>
      </w:pPr>
    </w:p>
    <w:p w14:paraId="20C5F205" w14:textId="77777777" w:rsidR="00B731C3" w:rsidRDefault="00B731C3" w:rsidP="00B731C3">
      <w:pPr>
        <w:spacing w:after="0" w:line="240" w:lineRule="auto"/>
        <w:jc w:val="both"/>
        <w:rPr>
          <w:rFonts w:eastAsia="Times New Roman" w:cstheme="minorHAnsi"/>
          <w:b/>
          <w:bCs/>
          <w:color w:val="000000"/>
          <w:sz w:val="24"/>
          <w:szCs w:val="24"/>
          <w:lang w:eastAsia="et-EE"/>
        </w:rPr>
      </w:pPr>
    </w:p>
    <w:p w14:paraId="64E2793D" w14:textId="77777777" w:rsidR="00B731C3" w:rsidRPr="00DB4996" w:rsidRDefault="00B731C3" w:rsidP="00B731C3">
      <w:pPr>
        <w:spacing w:after="0" w:line="240" w:lineRule="auto"/>
        <w:jc w:val="both"/>
        <w:rPr>
          <w:rFonts w:eastAsia="Times New Roman" w:cstheme="minorHAnsi"/>
          <w:b/>
          <w:bCs/>
          <w:color w:val="000000"/>
          <w:sz w:val="24"/>
          <w:szCs w:val="24"/>
          <w:lang w:eastAsia="et-EE"/>
        </w:rPr>
      </w:pPr>
      <w:r w:rsidRPr="00DB4996">
        <w:rPr>
          <w:rFonts w:eastAsia="Times New Roman" w:cstheme="minorHAnsi"/>
          <w:b/>
          <w:bCs/>
          <w:color w:val="000000"/>
          <w:sz w:val="24"/>
          <w:szCs w:val="24"/>
          <w:lang w:eastAsia="et-EE"/>
        </w:rPr>
        <w:t>10. Eelnõu kooskõlastamine, huvirühmade kaasamine ja avalik konsultatsioon</w:t>
      </w:r>
    </w:p>
    <w:p w14:paraId="5F5207AE" w14:textId="77777777" w:rsidR="00B731C3" w:rsidRDefault="00B731C3" w:rsidP="00B731C3">
      <w:pPr>
        <w:spacing w:after="0" w:line="240" w:lineRule="auto"/>
        <w:jc w:val="both"/>
        <w:rPr>
          <w:rFonts w:cstheme="minorHAnsi"/>
          <w:sz w:val="24"/>
          <w:szCs w:val="24"/>
        </w:rPr>
      </w:pPr>
    </w:p>
    <w:p w14:paraId="68FD74FA" w14:textId="77777777" w:rsidR="00B731C3" w:rsidRPr="00DB4996" w:rsidRDefault="00B731C3" w:rsidP="00B731C3">
      <w:pPr>
        <w:spacing w:after="0" w:line="240" w:lineRule="auto"/>
        <w:jc w:val="both"/>
        <w:rPr>
          <w:rFonts w:eastAsia="Times New Roman" w:cstheme="minorHAnsi"/>
          <w:sz w:val="24"/>
          <w:szCs w:val="24"/>
        </w:rPr>
      </w:pPr>
      <w:r w:rsidRPr="00DB4996">
        <w:rPr>
          <w:rFonts w:cstheme="minorHAnsi"/>
          <w:sz w:val="24"/>
          <w:szCs w:val="24"/>
        </w:rPr>
        <w:t xml:space="preserve">Eelnõu esitatakse eelnõude infosüsteemi kaudu kooskõlastamiseks </w:t>
      </w:r>
      <w:r>
        <w:rPr>
          <w:rFonts w:cstheme="minorHAnsi"/>
          <w:sz w:val="24"/>
          <w:szCs w:val="24"/>
        </w:rPr>
        <w:t xml:space="preserve">Justiits- ja Digiministeeriumile, Rahandusministeeriumile, Regionaal- ja Põllumajandusministeeriumile ning Majandus- ja Kommunikatsiooniministeeriumile, Kaitseministeeriumile, Tarbijakaitse ja Tehnilise Järelevalve Ametile ja Konkurentsiametile. Eelnõu edastatakse </w:t>
      </w:r>
      <w:r w:rsidRPr="00DB4996">
        <w:rPr>
          <w:rFonts w:cstheme="minorHAnsi"/>
          <w:sz w:val="24"/>
          <w:szCs w:val="24"/>
        </w:rPr>
        <w:t>arvamuse esitamiseks</w:t>
      </w:r>
      <w:r>
        <w:rPr>
          <w:rFonts w:cstheme="minorHAnsi"/>
          <w:sz w:val="24"/>
          <w:szCs w:val="24"/>
        </w:rPr>
        <w:t xml:space="preserve"> MTÜ-le Eesti Linnade ja Valdade Liit, Eesti Kaubandus ja Tööstuskojale, Eesti Kütte ja Ventilatsiooniinseneride Ühendusele ning Eesti Soojusinseneride Liidule.</w:t>
      </w:r>
    </w:p>
    <w:p w14:paraId="261648C2" w14:textId="637BD9A1" w:rsidR="006934B8" w:rsidRDefault="004B0A37" w:rsidP="00947442">
      <w:pPr>
        <w:spacing w:after="0" w:line="240" w:lineRule="auto"/>
        <w:ind w:firstLine="708"/>
        <w:jc w:val="both"/>
        <w:rPr>
          <w:rFonts w:eastAsia="Times New Roman" w:cstheme="minorHAnsi"/>
          <w:sz w:val="24"/>
          <w:szCs w:val="24"/>
        </w:rPr>
      </w:pPr>
      <w:r>
        <w:rPr>
          <w:rFonts w:eastAsia="Times New Roman" w:cstheme="minorHAnsi"/>
          <w:sz w:val="24"/>
          <w:szCs w:val="24"/>
        </w:rPr>
        <w:t xml:space="preserve"> </w:t>
      </w:r>
    </w:p>
    <w:sectPr w:rsidR="006934B8" w:rsidSect="0002370B">
      <w:headerReference w:type="even" r:id="rId40"/>
      <w:headerReference w:type="default" r:id="rId41"/>
      <w:footerReference w:type="even" r:id="rId42"/>
      <w:footerReference w:type="default" r:id="rId43"/>
      <w:headerReference w:type="first" r:id="rId44"/>
      <w:footerReference w:type="first" r:id="rId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8C0C7C" w14:textId="77777777" w:rsidR="00942F6A" w:rsidRDefault="00942F6A">
      <w:pPr>
        <w:spacing w:after="0" w:line="240" w:lineRule="auto"/>
      </w:pPr>
      <w:r>
        <w:separator/>
      </w:r>
    </w:p>
  </w:endnote>
  <w:endnote w:type="continuationSeparator" w:id="0">
    <w:p w14:paraId="4C54DCEC" w14:textId="77777777" w:rsidR="00942F6A" w:rsidRDefault="00942F6A">
      <w:pPr>
        <w:spacing w:after="0" w:line="240" w:lineRule="auto"/>
      </w:pPr>
      <w:r>
        <w:continuationSeparator/>
      </w:r>
    </w:p>
  </w:endnote>
  <w:endnote w:type="continuationNotice" w:id="1">
    <w:p w14:paraId="5CA6F288" w14:textId="77777777" w:rsidR="00942F6A" w:rsidRDefault="00942F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BA"/>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67F83" w14:textId="77777777" w:rsidR="000A03EF" w:rsidRDefault="000A03EF">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5949567"/>
      <w:docPartObj>
        <w:docPartGallery w:val="Page Numbers (Bottom of Page)"/>
        <w:docPartUnique/>
      </w:docPartObj>
    </w:sdtPr>
    <w:sdtEndPr/>
    <w:sdtContent>
      <w:p w14:paraId="232FBD01" w14:textId="77777777" w:rsidR="000A03EF" w:rsidRDefault="000A03EF">
        <w:pPr>
          <w:pStyle w:val="Jalus"/>
          <w:jc w:val="center"/>
        </w:pPr>
        <w:r>
          <w:fldChar w:fldCharType="begin"/>
        </w:r>
        <w:r>
          <w:instrText>PAGE   \* MERGEFORMAT</w:instrText>
        </w:r>
        <w:r>
          <w:fldChar w:fldCharType="separate"/>
        </w:r>
        <w:r>
          <w:rPr>
            <w:noProof/>
          </w:rPr>
          <w:t>13</w:t>
        </w:r>
        <w:r>
          <w:fldChar w:fldCharType="end"/>
        </w:r>
      </w:p>
    </w:sdtContent>
  </w:sdt>
  <w:p w14:paraId="79728A1B" w14:textId="77777777" w:rsidR="000A03EF" w:rsidRDefault="000A03EF">
    <w:pPr>
      <w:pStyle w:val="Jalu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DA5E9" w14:textId="77777777" w:rsidR="000A03EF" w:rsidRDefault="000A03EF">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E9632" w14:textId="77777777" w:rsidR="00942F6A" w:rsidRDefault="00942F6A">
      <w:pPr>
        <w:spacing w:after="0" w:line="240" w:lineRule="auto"/>
      </w:pPr>
      <w:r>
        <w:separator/>
      </w:r>
    </w:p>
  </w:footnote>
  <w:footnote w:type="continuationSeparator" w:id="0">
    <w:p w14:paraId="7D33F101" w14:textId="77777777" w:rsidR="00942F6A" w:rsidRDefault="00942F6A">
      <w:pPr>
        <w:spacing w:after="0" w:line="240" w:lineRule="auto"/>
      </w:pPr>
      <w:r>
        <w:continuationSeparator/>
      </w:r>
    </w:p>
  </w:footnote>
  <w:footnote w:type="continuationNotice" w:id="1">
    <w:p w14:paraId="581A553B" w14:textId="77777777" w:rsidR="00942F6A" w:rsidRDefault="00942F6A">
      <w:pPr>
        <w:spacing w:after="0" w:line="240" w:lineRule="auto"/>
      </w:pPr>
    </w:p>
  </w:footnote>
  <w:footnote w:id="2">
    <w:p w14:paraId="1C26C1A0" w14:textId="77777777" w:rsidR="00B731C3" w:rsidRDefault="00B731C3" w:rsidP="00B731C3">
      <w:pPr>
        <w:pStyle w:val="Allmrkusetekst"/>
      </w:pPr>
      <w:r>
        <w:rPr>
          <w:rStyle w:val="Allmrkuseviide"/>
        </w:rPr>
        <w:footnoteRef/>
      </w:r>
      <w:r>
        <w:t xml:space="preserve"> </w:t>
      </w:r>
      <w:hyperlink r:id="rId1" w:history="1">
        <w:r w:rsidRPr="00EC2AC5">
          <w:rPr>
            <w:rStyle w:val="Hperlink"/>
          </w:rPr>
          <w:t>https://www.riigikogu.ee/tegevus/dokumendiregister/toimikud/d5fd33aa-5caf-413e-a9d7-457164adaa99/</w:t>
        </w:r>
      </w:hyperlink>
      <w:r>
        <w:t xml:space="preserve"> </w:t>
      </w:r>
    </w:p>
  </w:footnote>
  <w:footnote w:id="3">
    <w:p w14:paraId="15DEDF6F" w14:textId="77777777" w:rsidR="00B731C3" w:rsidRDefault="00B731C3" w:rsidP="00B731C3">
      <w:pPr>
        <w:pStyle w:val="Allmrkusetekst"/>
      </w:pPr>
      <w:r>
        <w:rPr>
          <w:rStyle w:val="Allmrkuseviide"/>
        </w:rPr>
        <w:footnoteRef/>
      </w:r>
      <w:r>
        <w:t xml:space="preserve"> E</w:t>
      </w:r>
      <w:r w:rsidRPr="0056556F">
        <w:t>nergiaühik</w:t>
      </w:r>
      <w:r>
        <w:t xml:space="preserve"> (toe)</w:t>
      </w:r>
      <w:r w:rsidRPr="0056556F">
        <w:t>, mida kasutatakse erinevate energiaallikate võrdlemiseks, väljendades nende energiasisaldust vastavalt toornafta energiasisule</w:t>
      </w:r>
      <w:r>
        <w:t>.</w:t>
      </w:r>
    </w:p>
  </w:footnote>
  <w:footnote w:id="4">
    <w:p w14:paraId="222E63AB" w14:textId="77777777" w:rsidR="00B731C3" w:rsidRDefault="00B731C3" w:rsidP="00B731C3">
      <w:pPr>
        <w:pStyle w:val="Allmrkusetekst"/>
      </w:pPr>
      <w:r>
        <w:rPr>
          <w:rStyle w:val="Allmrkuseviide"/>
        </w:rPr>
        <w:footnoteRef/>
      </w:r>
      <w:r>
        <w:t xml:space="preserve"> </w:t>
      </w:r>
      <w:hyperlink r:id="rId2" w:history="1">
        <w:r w:rsidRPr="00BC7A72">
          <w:rPr>
            <w:rStyle w:val="Hperlink"/>
          </w:rPr>
          <w:t>https://eur-lex.europa.eu/legal-content/ET/TXT/PDF/?uri=CELEX:32022R2299</w:t>
        </w:r>
      </w:hyperlink>
      <w:r>
        <w:t>.</w:t>
      </w:r>
    </w:p>
  </w:footnote>
  <w:footnote w:id="5">
    <w:p w14:paraId="68B24F64" w14:textId="77777777" w:rsidR="00B731C3" w:rsidRPr="002A477F" w:rsidRDefault="00B731C3" w:rsidP="00B731C3">
      <w:pPr>
        <w:pStyle w:val="Allmrkusetekst"/>
      </w:pPr>
      <w:r w:rsidRPr="002A477F">
        <w:rPr>
          <w:rStyle w:val="Allmrkuseviide"/>
        </w:rPr>
        <w:footnoteRef/>
      </w:r>
      <w:r w:rsidRPr="002A477F">
        <w:t xml:space="preserve"> </w:t>
      </w:r>
      <w:hyperlink r:id="rId3" w:history="1">
        <w:r w:rsidRPr="002A477F">
          <w:rPr>
            <w:rFonts w:asciiTheme="minorHAnsi" w:eastAsiaTheme="minorHAnsi" w:hAnsiTheme="minorHAnsi" w:cstheme="minorBidi"/>
            <w:color w:val="0000FF"/>
            <w:u w:val="single"/>
          </w:rPr>
          <w:t>Komisjoni soovitus (EL) 2024/1722, 17. juuni 2024, milles esitatakse suunised Euroopa Parlamendi ja nõukogu direktiivi (EL) 2023/1791 artikli 4 tõlgendamiseks seoses energiatõhususe eesmärkide ja riiklike panustega</w:t>
        </w:r>
      </w:hyperlink>
      <w:r w:rsidRPr="002A477F">
        <w:t>.</w:t>
      </w:r>
    </w:p>
  </w:footnote>
  <w:footnote w:id="6">
    <w:p w14:paraId="1B9C98FB" w14:textId="77777777" w:rsidR="00B731C3" w:rsidRPr="00922054" w:rsidRDefault="00B731C3" w:rsidP="00B731C3">
      <w:pPr>
        <w:pStyle w:val="Allmrkusetekst"/>
        <w:rPr>
          <w:sz w:val="18"/>
          <w:szCs w:val="18"/>
        </w:rPr>
      </w:pPr>
      <w:r w:rsidRPr="00922054">
        <w:rPr>
          <w:rStyle w:val="Allmrkuseviide"/>
          <w:sz w:val="18"/>
          <w:szCs w:val="18"/>
        </w:rPr>
        <w:footnoteRef/>
      </w:r>
      <w:r w:rsidRPr="00922054">
        <w:rPr>
          <w:sz w:val="18"/>
          <w:szCs w:val="18"/>
        </w:rPr>
        <w:t xml:space="preserve"> </w:t>
      </w:r>
      <w:hyperlink r:id="rId4" w:history="1">
        <w:r w:rsidRPr="00922054">
          <w:rPr>
            <w:rFonts w:asciiTheme="minorHAnsi" w:eastAsiaTheme="minorHAnsi" w:hAnsiTheme="minorHAnsi" w:cstheme="minorBidi"/>
            <w:color w:val="0000FF"/>
            <w:sz w:val="18"/>
            <w:szCs w:val="18"/>
            <w:u w:val="single"/>
          </w:rPr>
          <w:t>ENERGIAMAJANDUSE ARENGUKAVA AASTANI 2035 EELNÕU</w:t>
        </w:r>
      </w:hyperlink>
      <w:r>
        <w:t>.</w:t>
      </w:r>
    </w:p>
  </w:footnote>
  <w:footnote w:id="7">
    <w:p w14:paraId="61A58D01" w14:textId="77777777" w:rsidR="00B731C3" w:rsidRDefault="00B731C3" w:rsidP="00B731C3">
      <w:pPr>
        <w:pStyle w:val="Allmrkusetekst"/>
      </w:pPr>
      <w:r>
        <w:rPr>
          <w:rStyle w:val="Allmrkuseviide"/>
        </w:rPr>
        <w:footnoteRef/>
      </w:r>
      <w:hyperlink r:id="rId5" w:history="1">
        <w:r w:rsidRPr="00EE4C12">
          <w:rPr>
            <w:rStyle w:val="Hperlink"/>
          </w:rPr>
          <w:t>https://www.fin.ee/sites/default/files/documents/2024-11/Avaliku_sektori_asutused_asutuse_liikide_loikes_aprill_2024_0.xlsx</w:t>
        </w:r>
      </w:hyperlink>
      <w:r>
        <w:t>.</w:t>
      </w:r>
    </w:p>
  </w:footnote>
  <w:footnote w:id="8">
    <w:p w14:paraId="271F4591" w14:textId="77777777" w:rsidR="00B731C3" w:rsidRDefault="00B731C3" w:rsidP="00B731C3">
      <w:pPr>
        <w:pStyle w:val="Allmrkusetekst"/>
      </w:pPr>
      <w:r>
        <w:rPr>
          <w:rStyle w:val="Allmrkuseviide"/>
        </w:rPr>
        <w:footnoteRef/>
      </w:r>
      <w:r>
        <w:t xml:space="preserve"> Kuna direktiiv hakkab kehtima 11.10.2025, siis sellele rühmale lisandub veel 0,4% energiasäästu kohustus 2025. aasta lõpul. </w:t>
      </w:r>
    </w:p>
  </w:footnote>
  <w:footnote w:id="9">
    <w:p w14:paraId="75BC9C39" w14:textId="77777777" w:rsidR="00B731C3" w:rsidRPr="001F10AE" w:rsidRDefault="00B731C3" w:rsidP="00B731C3">
      <w:pPr>
        <w:pStyle w:val="Allmrkusetekst"/>
      </w:pPr>
      <w:r w:rsidRPr="001F10AE">
        <w:rPr>
          <w:rStyle w:val="Allmrkuseviide"/>
        </w:rPr>
        <w:footnoteRef/>
      </w:r>
      <w:r w:rsidRPr="001F10AE">
        <w:t xml:space="preserve"> </w:t>
      </w:r>
      <w:hyperlink r:id="rId6" w:history="1">
        <w:r w:rsidRPr="001F10AE">
          <w:rPr>
            <w:rFonts w:asciiTheme="minorHAnsi" w:eastAsiaTheme="minorHAnsi" w:hAnsiTheme="minorHAnsi" w:cstheme="minorBidi"/>
            <w:color w:val="0000FF"/>
            <w:u w:val="single"/>
          </w:rPr>
          <w:t>Riigieelarve seadus–Riigi Teataja</w:t>
        </w:r>
      </w:hyperlink>
      <w:r w:rsidRPr="001F10AE">
        <w:t>.</w:t>
      </w:r>
    </w:p>
  </w:footnote>
  <w:footnote w:id="10">
    <w:p w14:paraId="5FC21AA9" w14:textId="77777777" w:rsidR="00B731C3" w:rsidRPr="001F10AE" w:rsidRDefault="00B731C3" w:rsidP="00B731C3">
      <w:pPr>
        <w:pStyle w:val="Allmrkusetekst"/>
      </w:pPr>
      <w:r w:rsidRPr="001F10AE">
        <w:rPr>
          <w:rStyle w:val="Allmrkuseviide"/>
        </w:rPr>
        <w:footnoteRef/>
      </w:r>
      <w:r w:rsidRPr="001F10AE">
        <w:t xml:space="preserve"> </w:t>
      </w:r>
      <w:hyperlink r:id="rId7" w:history="1">
        <w:r w:rsidRPr="001F10AE">
          <w:rPr>
            <w:rFonts w:asciiTheme="minorHAnsi" w:eastAsiaTheme="minorHAnsi" w:hAnsiTheme="minorHAnsi" w:cstheme="minorBidi"/>
            <w:color w:val="0000FF"/>
            <w:u w:val="single"/>
          </w:rPr>
          <w:t>Majandusüksuste klassifitseerimise abiinfo | Statistikaamet</w:t>
        </w:r>
      </w:hyperlink>
      <w:r w:rsidRPr="001F10AE">
        <w:t>.</w:t>
      </w:r>
    </w:p>
  </w:footnote>
  <w:footnote w:id="11">
    <w:p w14:paraId="3485AB39" w14:textId="77777777" w:rsidR="00B731C3" w:rsidRDefault="00B731C3" w:rsidP="00B731C3">
      <w:pPr>
        <w:pStyle w:val="Allmrkusetekst"/>
      </w:pPr>
      <w:r w:rsidRPr="001F10AE">
        <w:rPr>
          <w:rStyle w:val="Allmrkuseviide"/>
        </w:rPr>
        <w:footnoteRef/>
      </w:r>
      <w:r w:rsidRPr="001F10AE">
        <w:t xml:space="preserve"> </w:t>
      </w:r>
      <w:hyperlink r:id="rId8" w:history="1">
        <w:r w:rsidRPr="001F10AE">
          <w:rPr>
            <w:rFonts w:asciiTheme="minorHAnsi" w:eastAsiaTheme="minorHAnsi" w:hAnsiTheme="minorHAnsi" w:cstheme="minorBidi"/>
            <w:color w:val="0000FF"/>
            <w:u w:val="single"/>
          </w:rPr>
          <w:t>EURONA — Eurostat review on National Accounts and Macroeconomic Indicators — Issue No 2/2014 - Products Statistical Books - Eurostat</w:t>
        </w:r>
      </w:hyperlink>
      <w:r w:rsidRPr="001F10AE">
        <w:t>.</w:t>
      </w:r>
    </w:p>
  </w:footnote>
  <w:footnote w:id="12">
    <w:p w14:paraId="07067DC8" w14:textId="77777777" w:rsidR="00B731C3" w:rsidRPr="001F10AE" w:rsidRDefault="00B731C3" w:rsidP="00B731C3">
      <w:pPr>
        <w:pStyle w:val="Allmrkusetekst"/>
      </w:pPr>
      <w:r w:rsidRPr="001F10AE">
        <w:rPr>
          <w:rStyle w:val="Allmrkuseviide"/>
        </w:rPr>
        <w:footnoteRef/>
      </w:r>
      <w:r w:rsidRPr="001F10AE">
        <w:t xml:space="preserve"> </w:t>
      </w:r>
      <w:hyperlink r:id="rId9" w:history="1">
        <w:r w:rsidRPr="001F10AE">
          <w:rPr>
            <w:rFonts w:asciiTheme="minorHAnsi" w:eastAsiaTheme="minorHAnsi" w:hAnsiTheme="minorHAnsi" w:cstheme="minorBidi"/>
            <w:color w:val="0000FF"/>
            <w:u w:val="single"/>
          </w:rPr>
          <w:t>Avaliku sektori statistika | Rahandusministeerium</w:t>
        </w:r>
      </w:hyperlink>
      <w:r w:rsidRPr="001F10AE">
        <w:t>.</w:t>
      </w:r>
    </w:p>
  </w:footnote>
  <w:footnote w:id="13">
    <w:p w14:paraId="1F140D7E" w14:textId="77777777" w:rsidR="00B731C3" w:rsidRDefault="00B731C3" w:rsidP="00B731C3">
      <w:pPr>
        <w:pStyle w:val="Allmrkusetekst"/>
      </w:pPr>
      <w:r>
        <w:rPr>
          <w:rStyle w:val="Allmrkuseviide"/>
        </w:rPr>
        <w:footnoteRef/>
      </w:r>
      <w:r>
        <w:t xml:space="preserve"> </w:t>
      </w:r>
      <w:hyperlink r:id="rId10" w:history="1">
        <w:r w:rsidRPr="007B2ADE">
          <w:rPr>
            <w:rFonts w:asciiTheme="minorHAnsi" w:eastAsiaTheme="minorHAnsi" w:hAnsiTheme="minorHAnsi" w:cstheme="minorBidi"/>
            <w:color w:val="0000FF"/>
            <w:u w:val="single"/>
          </w:rPr>
          <w:t>EUR-Lex - 32003H0361 - EN - EUR-Lex</w:t>
        </w:r>
      </w:hyperlink>
      <w:r>
        <w:t>.</w:t>
      </w:r>
    </w:p>
  </w:footnote>
  <w:footnote w:id="14">
    <w:p w14:paraId="5F565837" w14:textId="77777777" w:rsidR="00B731C3" w:rsidRDefault="00B731C3" w:rsidP="00B731C3">
      <w:pPr>
        <w:pStyle w:val="Allmrkusetekst"/>
      </w:pPr>
      <w:r>
        <w:rPr>
          <w:rStyle w:val="Allmrkuseviide"/>
        </w:rPr>
        <w:footnoteRef/>
      </w:r>
      <w:r>
        <w:t xml:space="preserve"> </w:t>
      </w:r>
      <w:hyperlink r:id="rId11" w:history="1">
        <w:r w:rsidRPr="00F83C35">
          <w:rPr>
            <w:rStyle w:val="Hperlink"/>
          </w:rPr>
          <w:t>https://ec.europa.eu/docsroom/documents/42921/attachments/1/translations/et/renditions/native</w:t>
        </w:r>
      </w:hyperlink>
      <w:r>
        <w:t>.</w:t>
      </w:r>
    </w:p>
  </w:footnote>
  <w:footnote w:id="15">
    <w:p w14:paraId="0E830DBA" w14:textId="77777777" w:rsidR="00B731C3" w:rsidRDefault="00B731C3" w:rsidP="00B731C3">
      <w:pPr>
        <w:pStyle w:val="Allmrkusetekst"/>
      </w:pPr>
      <w:r>
        <w:rPr>
          <w:rStyle w:val="Allmrkuseviide"/>
        </w:rPr>
        <w:footnoteRef/>
      </w:r>
      <w:r>
        <w:t xml:space="preserve"> </w:t>
      </w:r>
      <w:r w:rsidRPr="009446E3">
        <w:t>Komisjoni soovitus (EL) 2024/2143, 29. juuli 2024, milles esitatakse suunised Euroopa Parlamendi ja nõukogu direktiivi (EL) 2023/1791 artikli 3 tõlgendamiseks seoses energiatõhususe esikohale seadmise põhimõttega (teatavaks tehtud numbri C(2024) 5284 all).</w:t>
      </w:r>
    </w:p>
  </w:footnote>
  <w:footnote w:id="16">
    <w:p w14:paraId="54B24095" w14:textId="77777777" w:rsidR="00B731C3" w:rsidRDefault="00B731C3" w:rsidP="00B731C3">
      <w:pPr>
        <w:pStyle w:val="Allmrkusetekst"/>
      </w:pPr>
      <w:r>
        <w:rPr>
          <w:rStyle w:val="Allmrkuseviide"/>
        </w:rPr>
        <w:footnoteRef/>
      </w:r>
      <w:r>
        <w:t xml:space="preserve"> </w:t>
      </w:r>
      <w:hyperlink r:id="rId12" w:history="1">
        <w:r w:rsidRPr="00C16E59">
          <w:rPr>
            <w:rStyle w:val="Hperlink"/>
          </w:rPr>
          <w:t>https://eur-lex.europa.eu/legal-content/ET/TXT/PDF/?uri=CELEX:32021H1749</w:t>
        </w:r>
      </w:hyperlink>
      <w:r>
        <w:t xml:space="preserve"> </w:t>
      </w:r>
    </w:p>
  </w:footnote>
  <w:footnote w:id="17">
    <w:p w14:paraId="55646DD1" w14:textId="77777777" w:rsidR="00B731C3" w:rsidRDefault="00B731C3" w:rsidP="00B731C3">
      <w:pPr>
        <w:pStyle w:val="Allmrkusetekst"/>
      </w:pPr>
      <w:r>
        <w:rPr>
          <w:rStyle w:val="Allmrkuseviide"/>
        </w:rPr>
        <w:footnoteRef/>
      </w:r>
      <w:r>
        <w:t xml:space="preserve"> </w:t>
      </w:r>
      <w:bookmarkStart w:id="3" w:name="_Hlk201924726"/>
      <w:r>
        <w:fldChar w:fldCharType="begin"/>
      </w:r>
      <w:r>
        <w:instrText>HYPERLINK "https://eur-lex.europa.eu/legal-content/ET/TXT/PDF/?uri=OJ:L_202402143"</w:instrText>
      </w:r>
      <w:r>
        <w:fldChar w:fldCharType="separate"/>
      </w:r>
      <w:r w:rsidRPr="00502FE7">
        <w:rPr>
          <w:rFonts w:asciiTheme="minorHAnsi" w:eastAsiaTheme="minorHAnsi" w:hAnsiTheme="minorHAnsi" w:cstheme="minorBidi"/>
          <w:color w:val="0000FF"/>
          <w:u w:val="single"/>
        </w:rPr>
        <w:t>Komisjoni soovitus (EL) 2024/2143, 29. juuli 2024, milles esitatakse suunised Euroopa Parlamendi ja nõukogu direktiivi (EL) 2023/1791 artikli 3 tõlgendamiseks seoses energiatõhususe esikohale seadmise põhimõttega (teatavaks tehtud numbri C(2024) 5284 all)</w:t>
      </w:r>
      <w:r>
        <w:fldChar w:fldCharType="end"/>
      </w:r>
      <w:r>
        <w:t>.</w:t>
      </w:r>
      <w:bookmarkEnd w:id="3"/>
    </w:p>
  </w:footnote>
  <w:footnote w:id="18">
    <w:p w14:paraId="08D5D507" w14:textId="77777777" w:rsidR="00B731C3" w:rsidRDefault="00B731C3" w:rsidP="00B731C3">
      <w:pPr>
        <w:pStyle w:val="Allmrkusetekst"/>
      </w:pPr>
      <w:r>
        <w:rPr>
          <w:rStyle w:val="Allmrkuseviide"/>
        </w:rPr>
        <w:footnoteRef/>
      </w:r>
      <w:r>
        <w:t xml:space="preserve"> </w:t>
      </w:r>
      <w:hyperlink r:id="rId13" w:history="1">
        <w:r w:rsidRPr="001F10AE">
          <w:rPr>
            <w:rFonts w:asciiTheme="minorHAnsi" w:eastAsiaTheme="minorHAnsi" w:hAnsiTheme="minorHAnsi" w:cstheme="minorBidi"/>
            <w:color w:val="0000FF"/>
            <w:sz w:val="22"/>
            <w:szCs w:val="22"/>
            <w:u w:val="single"/>
          </w:rPr>
          <w:t>eur-lex.europa.eu/legal-content/ET/TXT/PDF/?uri=CELEX:32020R0852</w:t>
        </w:r>
      </w:hyperlink>
      <w:r>
        <w:rPr>
          <w:rFonts w:asciiTheme="minorHAnsi" w:eastAsiaTheme="minorHAnsi" w:hAnsiTheme="minorHAnsi" w:cstheme="minorBidi"/>
          <w:sz w:val="22"/>
          <w:szCs w:val="22"/>
        </w:rPr>
        <w:t xml:space="preserve"> </w:t>
      </w:r>
    </w:p>
  </w:footnote>
  <w:footnote w:id="19">
    <w:p w14:paraId="0E5A28D1" w14:textId="77777777" w:rsidR="00B731C3" w:rsidRDefault="00B731C3" w:rsidP="00B731C3">
      <w:pPr>
        <w:pStyle w:val="Allmrkusetekst"/>
      </w:pPr>
      <w:r w:rsidRPr="00E93224">
        <w:rPr>
          <w:rStyle w:val="Allmrkuseviide"/>
        </w:rPr>
        <w:footnoteRef/>
      </w:r>
      <w:r w:rsidRPr="00E93224">
        <w:t xml:space="preserve"> </w:t>
      </w:r>
      <w:hyperlink r:id="rId14" w:history="1">
        <w:r w:rsidRPr="00E93224">
          <w:rPr>
            <w:rFonts w:asciiTheme="minorHAnsi" w:eastAsiaTheme="minorHAnsi" w:hAnsiTheme="minorHAnsi" w:cstheme="minorBidi"/>
            <w:color w:val="0000FF"/>
            <w:u w:val="single"/>
          </w:rPr>
          <w:t>EUROOPA PARLAMENDI JA NÕUKOGU MÄÄRUS (EL) 2018/ 1999, - 11. detsember 2018, - milles käsitletakse energialiidu ja kliimameetmete juhtimist ning millega muudetakse Euroopa Parlamendi ja nõukogu määrusi (EÜ) nr 663/ 2009 ja (EÜ) nr 715/ 2009, Euroopa Parlamendi ja nõukogu direktiive 94/ 22/ EÜ, 98/ 70/ EÜ, 2009/ 31/ EÜ, 2009/ 73/ EÜ, 2010/ 31/ EL, 2012/ 27/ EL ja 2013/ 30/ EL ning nõukogu direktiive 2009/ 119/ EÜ ja (EL) 2015/ 652 ning tunnistatakse kehtetuks Euroopa Parlamendi ja nõukogu määrus (EL) nr 525/ 2013</w:t>
        </w:r>
      </w:hyperlink>
      <w:r>
        <w:t>.</w:t>
      </w:r>
    </w:p>
  </w:footnote>
  <w:footnote w:id="20">
    <w:p w14:paraId="33DC810A" w14:textId="77777777" w:rsidR="00B731C3" w:rsidRDefault="00B731C3" w:rsidP="00B731C3">
      <w:pPr>
        <w:pStyle w:val="Allmrkusetekst"/>
      </w:pPr>
      <w:r>
        <w:rPr>
          <w:rStyle w:val="Allmrkuseviide"/>
        </w:rPr>
        <w:footnoteRef/>
      </w:r>
      <w:r>
        <w:t xml:space="preserve"> </w:t>
      </w:r>
      <w:hyperlink r:id="rId15" w:history="1">
        <w:r w:rsidRPr="00FC5087">
          <w:rPr>
            <w:rStyle w:val="Hperlink"/>
          </w:rPr>
          <w:t>https://eur-lex.europa.eu/legal-content/ET/TXT/HTML/?uri=CELEX:52020DC0299&amp;from=EN</w:t>
        </w:r>
      </w:hyperlink>
      <w:r>
        <w:t>.</w:t>
      </w:r>
    </w:p>
    <w:p w14:paraId="2D4F2F6E" w14:textId="77777777" w:rsidR="00B731C3" w:rsidRDefault="00B731C3" w:rsidP="00B731C3">
      <w:pPr>
        <w:pStyle w:val="Allmrkusetekst"/>
      </w:pPr>
    </w:p>
  </w:footnote>
  <w:footnote w:id="21">
    <w:p w14:paraId="51DB5DC9" w14:textId="77777777" w:rsidR="00B731C3" w:rsidRDefault="00B731C3" w:rsidP="00B731C3">
      <w:pPr>
        <w:pStyle w:val="Allmrkusetekst"/>
        <w:jc w:val="left"/>
      </w:pPr>
      <w:r>
        <w:rPr>
          <w:rStyle w:val="Allmrkuseviide"/>
        </w:rPr>
        <w:footnoteRef/>
      </w:r>
      <w:r>
        <w:t xml:space="preserve"> Riigikontrolli 2020 kontrollaruanne „Investeeringute juhtimine ministeeriumites, riigi suuremates äriühingutes ülikoolides ja haiglates“ </w:t>
      </w:r>
      <w:hyperlink r:id="rId16" w:history="1">
        <w:r w:rsidRPr="00BC7017">
          <w:rPr>
            <w:rStyle w:val="Hperlink"/>
          </w:rPr>
          <w:t>https://www.riigikontroll.ee/DesktopModules/DigiDetail/FileDownloader.aspx?AuditId=2497&amp;FileId=14550</w:t>
        </w:r>
      </w:hyperlink>
      <w:r>
        <w:t>.</w:t>
      </w:r>
    </w:p>
  </w:footnote>
  <w:footnote w:id="22">
    <w:p w14:paraId="67A9C527" w14:textId="77777777" w:rsidR="00B731C3" w:rsidRDefault="00B731C3" w:rsidP="00B731C3">
      <w:pPr>
        <w:pStyle w:val="Allmrkusetekst"/>
      </w:pPr>
      <w:r>
        <w:rPr>
          <w:rStyle w:val="Allmrkuseviide"/>
        </w:rPr>
        <w:footnoteRef/>
      </w:r>
      <w:r>
        <w:t xml:space="preserve"> </w:t>
      </w:r>
      <w:hyperlink r:id="rId17" w:history="1">
        <w:r w:rsidRPr="00057B06">
          <w:rPr>
            <w:rStyle w:val="Hperlink"/>
          </w:rPr>
          <w:t>https://eda.europa.eu/docs/default-source/brochures/05-01-24-defence-energy-factsheet.pdf</w:t>
        </w:r>
      </w:hyperlink>
      <w:r>
        <w:t>.</w:t>
      </w:r>
    </w:p>
  </w:footnote>
  <w:footnote w:id="23">
    <w:p w14:paraId="76FD60E6" w14:textId="77777777" w:rsidR="00B731C3" w:rsidRDefault="00B731C3" w:rsidP="00B731C3">
      <w:pPr>
        <w:pStyle w:val="Allmrkusetekst"/>
      </w:pPr>
      <w:r>
        <w:rPr>
          <w:rStyle w:val="Allmrkuseviide"/>
        </w:rPr>
        <w:footnoteRef/>
      </w:r>
      <w:r>
        <w:t xml:space="preserve"> </w:t>
      </w:r>
      <w:hyperlink r:id="rId18" w:history="1">
        <w:r w:rsidRPr="00552145">
          <w:rPr>
            <w:rStyle w:val="Hperlink"/>
          </w:rPr>
          <w:t>https://eda.europa.eu/what-we-do/eu-policies/consultation-forum</w:t>
        </w:r>
      </w:hyperlink>
      <w:r>
        <w:t>.</w:t>
      </w:r>
    </w:p>
  </w:footnote>
  <w:footnote w:id="24">
    <w:p w14:paraId="717B61CB" w14:textId="77777777" w:rsidR="00B731C3" w:rsidRDefault="00B731C3" w:rsidP="00B731C3">
      <w:pPr>
        <w:pStyle w:val="Allmrkusetekst"/>
      </w:pPr>
      <w:r>
        <w:rPr>
          <w:rStyle w:val="Allmrkuseviide"/>
        </w:rPr>
        <w:footnoteRef/>
      </w:r>
      <w:r>
        <w:t xml:space="preserve"> </w:t>
      </w:r>
      <w:hyperlink r:id="rId19" w:history="1">
        <w:r w:rsidRPr="0050087C">
          <w:rPr>
            <w:rStyle w:val="Hperlink"/>
          </w:rPr>
          <w:t>https://kaitseministeerium.ee/et/eesmargid-tegevused/kaitseministeeriumi-valitsemisala-kliimastrateegia</w:t>
        </w:r>
      </w:hyperlink>
      <w:r>
        <w:t>.</w:t>
      </w:r>
    </w:p>
  </w:footnote>
  <w:footnote w:id="25">
    <w:p w14:paraId="2563ADE5" w14:textId="77777777" w:rsidR="00B731C3" w:rsidRDefault="00B731C3" w:rsidP="00B731C3">
      <w:pPr>
        <w:pStyle w:val="Allmrkusetekst"/>
      </w:pPr>
      <w:r>
        <w:rPr>
          <w:rStyle w:val="Allmrkuseviide"/>
        </w:rPr>
        <w:footnoteRef/>
      </w:r>
      <w:r>
        <w:t xml:space="preserve"> </w:t>
      </w:r>
      <w:hyperlink r:id="rId20" w:history="1">
        <w:r w:rsidRPr="00864C64">
          <w:rPr>
            <w:rStyle w:val="Hperlink"/>
          </w:rPr>
          <w:t>Nõuded energiamärgise andmisele ja energiamärgisele–Riigi Teataja</w:t>
        </w:r>
      </w:hyperlink>
      <w:r>
        <w:t>; § 2 p 6.</w:t>
      </w:r>
    </w:p>
  </w:footnote>
  <w:footnote w:id="26">
    <w:p w14:paraId="7C12FB7C" w14:textId="77777777" w:rsidR="00B731C3" w:rsidRDefault="00B731C3" w:rsidP="00B731C3">
      <w:pPr>
        <w:pStyle w:val="Allmrkusetekst"/>
      </w:pPr>
      <w:r>
        <w:rPr>
          <w:rStyle w:val="Allmrkuseviide"/>
        </w:rPr>
        <w:footnoteRef/>
      </w:r>
      <w:r>
        <w:t xml:space="preserve"> </w:t>
      </w:r>
      <w:hyperlink r:id="rId21" w:history="1">
        <w:r w:rsidRPr="0050087C">
          <w:rPr>
            <w:rStyle w:val="Hperlink"/>
          </w:rPr>
          <w:t>https://livekluster.ehr.ee/ui/ehr/v1/document/kp</w:t>
        </w:r>
      </w:hyperlink>
      <w:r>
        <w:t>.</w:t>
      </w:r>
    </w:p>
  </w:footnote>
  <w:footnote w:id="27">
    <w:p w14:paraId="7F46C751" w14:textId="77777777" w:rsidR="00B731C3" w:rsidRDefault="00B731C3" w:rsidP="00B731C3">
      <w:pPr>
        <w:pStyle w:val="Allmrkusetekst"/>
      </w:pPr>
      <w:r w:rsidRPr="00BC7625">
        <w:rPr>
          <w:rStyle w:val="Allmrkuseviide"/>
        </w:rPr>
        <w:footnoteRef/>
      </w:r>
      <w:r w:rsidRPr="00BC7625">
        <w:t xml:space="preserve"> </w:t>
      </w:r>
      <w:hyperlink r:id="rId22" w:history="1">
        <w:r w:rsidRPr="00BC7625">
          <w:rPr>
            <w:rFonts w:asciiTheme="minorHAnsi" w:eastAsiaTheme="minorHAnsi" w:hAnsiTheme="minorHAnsi" w:cstheme="minorBidi"/>
            <w:color w:val="0000FF"/>
            <w:u w:val="single"/>
          </w:rPr>
          <w:t>KE08: ETTEVÕTETES TARBITUD KÜTUSE JA ENERGIA KESKMINE MAKSUMUS | Näitaja, Kütuse/energia liik ning Vaatlusperiood. Statistika andmebaas</w:t>
        </w:r>
      </w:hyperlink>
      <w:r>
        <w:t>.</w:t>
      </w:r>
    </w:p>
  </w:footnote>
  <w:footnote w:id="28">
    <w:p w14:paraId="5959779E" w14:textId="77777777" w:rsidR="00B731C3" w:rsidRDefault="00B731C3" w:rsidP="00B731C3">
      <w:pPr>
        <w:pStyle w:val="Allmrkusetekst"/>
      </w:pPr>
      <w:r>
        <w:rPr>
          <w:rStyle w:val="Allmrkuseviide"/>
        </w:rPr>
        <w:footnoteRef/>
      </w:r>
      <w:r>
        <w:t xml:space="preserve"> AS Tallina Linnatranport on arvestatud juba ühistranspordis.</w:t>
      </w:r>
    </w:p>
  </w:footnote>
  <w:footnote w:id="29">
    <w:p w14:paraId="584ED8B7" w14:textId="77777777" w:rsidR="00B731C3" w:rsidRPr="00305A09" w:rsidRDefault="00B731C3" w:rsidP="00B731C3">
      <w:pPr>
        <w:pStyle w:val="Allmrkusetekst"/>
      </w:pPr>
      <w:r w:rsidRPr="00305A09">
        <w:rPr>
          <w:rStyle w:val="Allmrkuseviide"/>
        </w:rPr>
        <w:footnoteRef/>
      </w:r>
      <w:r w:rsidRPr="00305A09">
        <w:t xml:space="preserve"> </w:t>
      </w:r>
      <w:hyperlink r:id="rId23" w:history="1">
        <w:r w:rsidRPr="00305A09">
          <w:rPr>
            <w:rFonts w:asciiTheme="minorHAnsi" w:eastAsiaTheme="minorHAnsi" w:hAnsiTheme="minorHAnsi" w:cstheme="minorBidi"/>
            <w:color w:val="0000FF"/>
            <w:u w:val="single"/>
          </w:rPr>
          <w:t>kaitseministeerium_kliimastrateegia.pdf</w:t>
        </w:r>
      </w:hyperlink>
      <w:r>
        <w:t>.</w:t>
      </w:r>
    </w:p>
  </w:footnote>
  <w:footnote w:id="30">
    <w:p w14:paraId="63DCC908" w14:textId="77777777" w:rsidR="00B731C3" w:rsidRPr="00305A09" w:rsidRDefault="00B731C3" w:rsidP="00B731C3">
      <w:pPr>
        <w:pStyle w:val="Allmrkusetekst"/>
      </w:pPr>
      <w:r w:rsidRPr="00305A09">
        <w:rPr>
          <w:rStyle w:val="Allmrkuseviide"/>
        </w:rPr>
        <w:footnoteRef/>
      </w:r>
      <w:r w:rsidRPr="00305A09">
        <w:t xml:space="preserve"> </w:t>
      </w:r>
      <w:hyperlink r:id="rId24" w:history="1">
        <w:r w:rsidRPr="00305A09">
          <w:rPr>
            <w:rFonts w:asciiTheme="minorHAnsi" w:eastAsiaTheme="minorHAnsi" w:hAnsiTheme="minorHAnsi" w:cstheme="minorBidi"/>
            <w:color w:val="0000FF"/>
            <w:u w:val="single"/>
          </w:rPr>
          <w:t>Hoone indikatiivse energiatõhususe klassi reaalajas määramine ning energiatõhususearvu järelevalve automatiseerimine | Riigikantselei</w:t>
        </w:r>
      </w:hyperlink>
      <w:r>
        <w:t>.</w:t>
      </w:r>
    </w:p>
  </w:footnote>
  <w:footnote w:id="31">
    <w:p w14:paraId="28192EF8" w14:textId="77777777" w:rsidR="00B731C3" w:rsidRPr="00305A09" w:rsidRDefault="00B731C3" w:rsidP="00B731C3">
      <w:pPr>
        <w:pStyle w:val="Allmrkusetekst"/>
      </w:pPr>
      <w:r w:rsidRPr="00305A09">
        <w:rPr>
          <w:rStyle w:val="Allmrkuseviide"/>
        </w:rPr>
        <w:footnoteRef/>
      </w:r>
      <w:r w:rsidRPr="00305A09">
        <w:t xml:space="preserve"> </w:t>
      </w:r>
      <w:hyperlink r:id="rId25" w:history="1">
        <w:r w:rsidRPr="00305A09">
          <w:rPr>
            <w:rFonts w:asciiTheme="minorHAnsi" w:eastAsiaTheme="minorHAnsi" w:hAnsiTheme="minorHAnsi" w:cstheme="minorBidi"/>
            <w:color w:val="0000FF"/>
            <w:u w:val="single"/>
          </w:rPr>
          <w:t>Andmepõhine aruandlus | Reaalajamajandus</w:t>
        </w:r>
      </w:hyperlink>
      <w:r>
        <w:t>.</w:t>
      </w:r>
    </w:p>
  </w:footnote>
  <w:footnote w:id="32">
    <w:p w14:paraId="692BAB9F" w14:textId="77777777" w:rsidR="00B731C3" w:rsidRPr="00305A09" w:rsidRDefault="00B731C3" w:rsidP="00B731C3">
      <w:pPr>
        <w:pStyle w:val="Allmrkusetekst"/>
      </w:pPr>
      <w:r w:rsidRPr="00305A09">
        <w:rPr>
          <w:rStyle w:val="Allmrkuseviide"/>
        </w:rPr>
        <w:footnoteRef/>
      </w:r>
      <w:r w:rsidRPr="00305A09">
        <w:t xml:space="preserve"> </w:t>
      </w:r>
      <w:hyperlink r:id="rId26" w:history="1">
        <w:r w:rsidRPr="007B2ADE">
          <w:rPr>
            <w:rFonts w:asciiTheme="minorHAnsi" w:eastAsiaTheme="minorHAnsi" w:hAnsiTheme="minorHAnsi" w:cstheme="minorBidi"/>
            <w:color w:val="0000FF"/>
            <w:u w:val="single"/>
          </w:rPr>
          <w:t>Nõuded energiamärgise andmisele ja energiamärgisele–Riigi Teataja</w:t>
        </w:r>
      </w:hyperlink>
      <w:r>
        <w:t>.</w:t>
      </w:r>
    </w:p>
  </w:footnote>
  <w:footnote w:id="33">
    <w:p w14:paraId="4B63D032" w14:textId="77777777" w:rsidR="00B731C3" w:rsidRPr="006073E0" w:rsidRDefault="00B731C3" w:rsidP="00B731C3">
      <w:pPr>
        <w:pStyle w:val="Allmrkusetekst"/>
      </w:pPr>
      <w:r w:rsidRPr="006073E0">
        <w:rPr>
          <w:rStyle w:val="Allmrkuseviide"/>
        </w:rPr>
        <w:footnoteRef/>
      </w:r>
      <w:r w:rsidRPr="006073E0">
        <w:t xml:space="preserve"> </w:t>
      </w:r>
      <w:hyperlink r:id="rId27" w:history="1">
        <w:r w:rsidRPr="007B2ADE">
          <w:rPr>
            <w:rFonts w:asciiTheme="minorHAnsi" w:eastAsiaTheme="minorHAnsi" w:hAnsiTheme="minorHAnsi" w:cstheme="minorBidi"/>
            <w:color w:val="0000FF"/>
            <w:u w:val="single"/>
          </w:rPr>
          <w:t>Nõuded energiamärgise andmisele ja energiamärgisele–Riigi Teataja</w:t>
        </w:r>
      </w:hyperlink>
      <w:r w:rsidRPr="007B2ADE">
        <w:rPr>
          <w:rFonts w:asciiTheme="minorHAnsi" w:eastAsiaTheme="minorHAnsi" w:hAnsiTheme="minorHAnsi" w:cstheme="minorBidi"/>
        </w:rPr>
        <w:t xml:space="preserve"> - § 2 p 6</w:t>
      </w:r>
      <w:r>
        <w:rPr>
          <w:rFonts w:asciiTheme="minorHAnsi" w:eastAsiaTheme="minorHAnsi" w:hAnsiTheme="minorHAnsi" w:cstheme="minorBidi"/>
        </w:rPr>
        <w:t>.</w:t>
      </w:r>
    </w:p>
  </w:footnote>
  <w:footnote w:id="34">
    <w:p w14:paraId="4F36FB69" w14:textId="77777777" w:rsidR="00B731C3" w:rsidRDefault="00B731C3" w:rsidP="00B731C3">
      <w:pPr>
        <w:pStyle w:val="Allmrkusetekst"/>
      </w:pPr>
      <w:r w:rsidRPr="00305A09">
        <w:rPr>
          <w:rStyle w:val="Allmrkuseviide"/>
        </w:rPr>
        <w:footnoteRef/>
      </w:r>
      <w:r w:rsidRPr="00305A09">
        <w:t xml:space="preserve"> </w:t>
      </w:r>
      <w:hyperlink r:id="rId28" w:history="1">
        <w:r w:rsidRPr="007B2ADE">
          <w:rPr>
            <w:rFonts w:asciiTheme="minorHAnsi" w:eastAsiaTheme="minorHAnsi" w:hAnsiTheme="minorHAnsi" w:cstheme="minorBidi"/>
            <w:color w:val="0000FF"/>
            <w:u w:val="single"/>
          </w:rPr>
          <w:t>Ehitisregister</w:t>
        </w:r>
      </w:hyperlink>
      <w:r>
        <w:t>.</w:t>
      </w:r>
    </w:p>
  </w:footnote>
  <w:footnote w:id="35">
    <w:p w14:paraId="0B57BE8B" w14:textId="77777777" w:rsidR="00B731C3" w:rsidRDefault="00B731C3" w:rsidP="00B731C3">
      <w:pPr>
        <w:pStyle w:val="Allmrkusetekst"/>
      </w:pPr>
      <w:r>
        <w:rPr>
          <w:rStyle w:val="Allmrkuseviide"/>
        </w:rPr>
        <w:footnoteRef/>
      </w:r>
      <w:r>
        <w:t xml:space="preserve"> </w:t>
      </w:r>
      <w:hyperlink r:id="rId29" w:history="1">
        <w:r w:rsidRPr="0050087C">
          <w:rPr>
            <w:rStyle w:val="Hperlink"/>
          </w:rPr>
          <w:t>https://minuomavalitsus.ee/muud-toolauad/kinnisvara-ulevaade</w:t>
        </w:r>
      </w:hyperlink>
      <w:r>
        <w:t>.</w:t>
      </w:r>
    </w:p>
  </w:footnote>
  <w:footnote w:id="36">
    <w:p w14:paraId="40359457" w14:textId="77777777" w:rsidR="00B731C3" w:rsidRPr="00CC7BBA" w:rsidRDefault="00B731C3" w:rsidP="00B731C3">
      <w:pPr>
        <w:pStyle w:val="Allmrkusetekst"/>
      </w:pPr>
      <w:r>
        <w:rPr>
          <w:rStyle w:val="Allmrkuseviide"/>
        </w:rPr>
        <w:footnoteRef/>
      </w:r>
      <w:r>
        <w:t xml:space="preserve"> RKAS on aastatel 2020–2024 rekonstrueerinud kokku ~75 000 m</w:t>
      </w:r>
      <w:r>
        <w:rPr>
          <w:vertAlign w:val="superscript"/>
        </w:rPr>
        <w:t>2</w:t>
      </w:r>
      <w:r>
        <w:t xml:space="preserve"> pinda, mis on kolmandik sellest eesmärgist, mis tuleb iga aasta saavutada.</w:t>
      </w:r>
    </w:p>
  </w:footnote>
  <w:footnote w:id="37">
    <w:p w14:paraId="6288B022" w14:textId="77777777" w:rsidR="00B731C3" w:rsidRDefault="00B731C3" w:rsidP="00B731C3">
      <w:pPr>
        <w:pStyle w:val="Allmrkusetekst"/>
      </w:pPr>
      <w:r>
        <w:rPr>
          <w:rStyle w:val="Allmrkuseviide"/>
        </w:rPr>
        <w:footnoteRef/>
      </w:r>
      <w:r>
        <w:rPr>
          <w:rFonts w:asciiTheme="minorHAnsi" w:eastAsiaTheme="minorHAnsi" w:hAnsiTheme="minorHAnsi" w:cstheme="minorBidi"/>
          <w:sz w:val="22"/>
          <w:szCs w:val="22"/>
        </w:rPr>
        <w:t xml:space="preserve"> </w:t>
      </w:r>
      <w:hyperlink r:id="rId30" w:history="1">
        <w:r w:rsidRPr="007B2ADE">
          <w:rPr>
            <w:rFonts w:asciiTheme="minorHAnsi" w:eastAsiaTheme="minorHAnsi" w:hAnsiTheme="minorHAnsi" w:cstheme="minorBidi"/>
            <w:color w:val="0000FF"/>
            <w:u w:val="single"/>
          </w:rPr>
          <w:t>Energiamajanduse korralduse seadus–Riigi Teataja</w:t>
        </w:r>
      </w:hyperlink>
      <w:r w:rsidRPr="007B2ADE">
        <w:rPr>
          <w:rFonts w:asciiTheme="minorHAnsi" w:eastAsiaTheme="minorHAnsi" w:hAnsiTheme="minorHAnsi" w:cstheme="minorBidi"/>
        </w:rPr>
        <w:t xml:space="preserve"> § 2 p 11</w:t>
      </w:r>
      <w:r>
        <w:rPr>
          <w:rFonts w:asciiTheme="minorHAnsi" w:eastAsiaTheme="minorHAnsi" w:hAnsiTheme="minorHAnsi" w:cstheme="minorBidi"/>
        </w:rPr>
        <w:t>:</w:t>
      </w:r>
      <w:r w:rsidRPr="007B2ADE">
        <w:rPr>
          <w:rFonts w:asciiTheme="minorHAnsi" w:eastAsiaTheme="minorHAnsi" w:hAnsiTheme="minorHAnsi" w:cstheme="minorBidi"/>
        </w:rPr>
        <w:t xml:space="preserve"> kasulik üldpõrandapind – hoone köetav pind, mis on hoone kõigi nende ruumide suletud netopindade summa, mille ruumiõhu kvaliteedi tagamiseks, s</w:t>
      </w:r>
      <w:r>
        <w:rPr>
          <w:rFonts w:asciiTheme="minorHAnsi" w:eastAsiaTheme="minorHAnsi" w:hAnsiTheme="minorHAnsi" w:cstheme="minorBidi"/>
        </w:rPr>
        <w:t>h</w:t>
      </w:r>
      <w:r w:rsidRPr="007B2ADE">
        <w:rPr>
          <w:rFonts w:asciiTheme="minorHAnsi" w:eastAsiaTheme="minorHAnsi" w:hAnsiTheme="minorHAnsi" w:cstheme="minorBidi"/>
        </w:rPr>
        <w:t xml:space="preserve"> temperatuuri hoidmiseks, tõstmiseks või langetamiseks kasutatakse energiat.</w:t>
      </w:r>
    </w:p>
  </w:footnote>
  <w:footnote w:id="38">
    <w:p w14:paraId="30DA0316" w14:textId="77777777" w:rsidR="00B731C3" w:rsidRDefault="00B731C3" w:rsidP="00B731C3">
      <w:pPr>
        <w:pStyle w:val="Allmrkusetekst"/>
      </w:pPr>
      <w:r>
        <w:rPr>
          <w:rStyle w:val="Allmrkuseviide"/>
        </w:rPr>
        <w:footnoteRef/>
      </w:r>
      <w:r>
        <w:t xml:space="preserve"> </w:t>
      </w:r>
      <w:r w:rsidRPr="00F00ECD">
        <w:t>Võrdlusalus hõlmab vaid neid hooneid, mis kuuluvad 1. jaanuari 2024. aasta seisuga avaliku sektori asutustele. Hooned, mi</w:t>
      </w:r>
      <w:r>
        <w:t>da</w:t>
      </w:r>
      <w:r w:rsidRPr="00F00ECD">
        <w:t xml:space="preserve"> avaliku sektori asutused omandavad pärast seda kuupäeva, võrdlusaluses ei sisaldu, kuid need võivad aidata kaasa eesmärgi saavutamisele, kui need renoveeritakse liginullenergiahoone või heitevaba hoone standardile vastavaks.</w:t>
      </w:r>
    </w:p>
  </w:footnote>
  <w:footnote w:id="39">
    <w:p w14:paraId="36B52AB3" w14:textId="77777777" w:rsidR="00B731C3" w:rsidRDefault="00B731C3" w:rsidP="00B731C3">
      <w:pPr>
        <w:pStyle w:val="Allmrkusetekst"/>
      </w:pPr>
      <w:r>
        <w:rPr>
          <w:rStyle w:val="Allmrkuseviide"/>
        </w:rPr>
        <w:footnoteRef/>
      </w:r>
      <w:r>
        <w:t xml:space="preserve"> </w:t>
      </w:r>
      <w:r w:rsidRPr="00645250">
        <w:t>Kohustus lepingutingimused läbi rääkida</w:t>
      </w:r>
      <w:r>
        <w:t xml:space="preserve">, juhul kui lepingut pikendatakse, toimumas on muud olulised ehitus ja remonditööd. </w:t>
      </w:r>
    </w:p>
  </w:footnote>
  <w:footnote w:id="40">
    <w:p w14:paraId="5F33E859" w14:textId="77777777" w:rsidR="00B731C3" w:rsidRDefault="00B731C3" w:rsidP="00B731C3">
      <w:pPr>
        <w:pStyle w:val="Allmrkusetekst"/>
      </w:pPr>
      <w:r>
        <w:rPr>
          <w:rStyle w:val="Allmrkuseviide"/>
        </w:rPr>
        <w:footnoteRef/>
      </w:r>
      <w:r>
        <w:t xml:space="preserve"> </w:t>
      </w:r>
      <w:r w:rsidRPr="001A7DBC">
        <w:t>Vaid juhul, kui need renoveeritakse sellegipoolest liginullenergiahooneteks või heitevabadeks hooneteks.</w:t>
      </w:r>
    </w:p>
  </w:footnote>
  <w:footnote w:id="41">
    <w:p w14:paraId="65657792" w14:textId="77777777" w:rsidR="00B731C3" w:rsidRDefault="00B731C3" w:rsidP="00B731C3">
      <w:pPr>
        <w:pStyle w:val="Allmrkusetekst"/>
      </w:pPr>
      <w:r w:rsidRPr="00BA7E79">
        <w:rPr>
          <w:rStyle w:val="Allmrkuseviide"/>
        </w:rPr>
        <w:footnoteRef/>
      </w:r>
      <w:r w:rsidRPr="00BA7E79">
        <w:t xml:space="preserve"> piisab renoveerimisest liikmesriikide kehtestatud asjakohase energiatõhususe tasemeni, mis võib jääda allapoole liginullenergiahoone standardit. Hoone ei pea olema pärast renoveerimist liginullenergiahoone.</w:t>
      </w:r>
    </w:p>
  </w:footnote>
  <w:footnote w:id="42">
    <w:p w14:paraId="00A902B2" w14:textId="77777777" w:rsidR="00B731C3" w:rsidRDefault="00B731C3" w:rsidP="00B731C3">
      <w:pPr>
        <w:pStyle w:val="Allmrkusetekst"/>
      </w:pPr>
      <w:r>
        <w:rPr>
          <w:rStyle w:val="Allmrkuseviide"/>
        </w:rPr>
        <w:footnoteRef/>
      </w:r>
      <w:r>
        <w:t xml:space="preserve"> i</w:t>
      </w:r>
      <w:r w:rsidRPr="00E3610B">
        <w:t>nventuur</w:t>
      </w:r>
      <w:r>
        <w:t>iga</w:t>
      </w:r>
      <w:r w:rsidRPr="00E3610B">
        <w:t xml:space="preserve"> hõlmama</w:t>
      </w:r>
      <w:r>
        <w:t>ta</w:t>
      </w:r>
      <w:r w:rsidRPr="00E3610B">
        <w:t xml:space="preserve"> hooned, mille kasulik üldpõrandapind jääb alla 250 m2, kuid liikmesriigid võivad otsustada lisada need hooned inventuuri, et saada üldkasutatavatest hoonetest täielik ülevaade.</w:t>
      </w:r>
    </w:p>
  </w:footnote>
  <w:footnote w:id="43">
    <w:p w14:paraId="6ED9144B" w14:textId="77777777" w:rsidR="00B731C3" w:rsidRPr="00E25A16" w:rsidRDefault="00B731C3" w:rsidP="00B731C3">
      <w:pPr>
        <w:pStyle w:val="Allmrkusetekst"/>
      </w:pPr>
      <w:r w:rsidRPr="00E25A16">
        <w:rPr>
          <w:rStyle w:val="Allmrkuseviide"/>
        </w:rPr>
        <w:footnoteRef/>
      </w:r>
      <w:r w:rsidRPr="00E25A16">
        <w:t xml:space="preserve"> </w:t>
      </w:r>
      <w:hyperlink r:id="rId31" w:history="1">
        <w:r w:rsidRPr="007B2ADE">
          <w:rPr>
            <w:rFonts w:asciiTheme="minorHAnsi" w:eastAsiaTheme="minorHAnsi" w:hAnsiTheme="minorHAnsi" w:cstheme="minorBidi"/>
            <w:color w:val="0000FF"/>
            <w:u w:val="single"/>
          </w:rPr>
          <w:t>Ehitusseadustik–Riigi Teataja</w:t>
        </w:r>
      </w:hyperlink>
      <w:r>
        <w:t>.</w:t>
      </w:r>
    </w:p>
  </w:footnote>
  <w:footnote w:id="44">
    <w:p w14:paraId="18EC72D7" w14:textId="77777777" w:rsidR="00B731C3" w:rsidRDefault="00B731C3" w:rsidP="00B731C3">
      <w:pPr>
        <w:pStyle w:val="Allmrkusetekst"/>
      </w:pPr>
      <w:r w:rsidRPr="00E25A16">
        <w:rPr>
          <w:rStyle w:val="Allmrkuseviide"/>
        </w:rPr>
        <w:footnoteRef/>
      </w:r>
      <w:r w:rsidRPr="00E25A16">
        <w:t xml:space="preserve"> </w:t>
      </w:r>
      <w:hyperlink r:id="rId32" w:history="1">
        <w:r w:rsidRPr="007B2ADE">
          <w:rPr>
            <w:rFonts w:asciiTheme="minorHAnsi" w:eastAsiaTheme="minorHAnsi" w:hAnsiTheme="minorHAnsi" w:cstheme="minorBidi"/>
            <w:color w:val="0000FF"/>
            <w:u w:val="single"/>
          </w:rPr>
          <w:t>Euroopa Parlamendi ja nõukogu direktiiv (EL) 2024/1275, 24. aprill 2024, hoonete energiatõhususe kohta (uuesti sõnastatud) (EMPs kohaldatav tekst)</w:t>
        </w:r>
      </w:hyperlink>
      <w:r>
        <w:t>.</w:t>
      </w:r>
    </w:p>
  </w:footnote>
  <w:footnote w:id="45">
    <w:p w14:paraId="41FE6F35" w14:textId="77777777" w:rsidR="00B731C3" w:rsidRPr="00260C70" w:rsidRDefault="00B731C3" w:rsidP="00B731C3">
      <w:pPr>
        <w:pStyle w:val="Allmrkusetekst"/>
      </w:pPr>
      <w:r w:rsidRPr="00260C70">
        <w:rPr>
          <w:rStyle w:val="Allmrkuseviide"/>
        </w:rPr>
        <w:footnoteRef/>
      </w:r>
      <w:r w:rsidRPr="00260C70">
        <w:t xml:space="preserve"> </w:t>
      </w:r>
      <w:hyperlink r:id="rId33" w:history="1">
        <w:r w:rsidRPr="009111B0">
          <w:rPr>
            <w:rFonts w:asciiTheme="minorHAnsi" w:eastAsiaTheme="minorHAnsi" w:hAnsiTheme="minorHAnsi" w:cstheme="minorBidi"/>
            <w:color w:val="0000FF"/>
            <w:u w:val="single"/>
          </w:rPr>
          <w:t>Sotsiaalhoolekande seadus–Riigi Teataja</w:t>
        </w:r>
      </w:hyperlink>
      <w:r>
        <w:t>.</w:t>
      </w:r>
    </w:p>
  </w:footnote>
  <w:footnote w:id="46">
    <w:p w14:paraId="58FD1A92" w14:textId="77777777" w:rsidR="00B731C3" w:rsidRDefault="00B731C3" w:rsidP="00B731C3">
      <w:pPr>
        <w:pStyle w:val="Allmrkusetekst"/>
        <w:jc w:val="left"/>
      </w:pPr>
      <w:r>
        <w:rPr>
          <w:rStyle w:val="Allmrkuseviide"/>
        </w:rPr>
        <w:footnoteRef/>
      </w:r>
      <w:r>
        <w:t xml:space="preserve"> </w:t>
      </w:r>
      <w:hyperlink r:id="rId34" w:history="1">
        <w:r w:rsidRPr="0050087C">
          <w:rPr>
            <w:rStyle w:val="Hperlink"/>
          </w:rPr>
          <w:t>https://kliimaministeerium.ee/sites/default/files/documents/2023-06/Hoonete%20rekonstrueerimise%20pikaajaline%20strateegia.pdf</w:t>
        </w:r>
      </w:hyperlink>
      <w:r>
        <w:t>.</w:t>
      </w:r>
    </w:p>
  </w:footnote>
  <w:footnote w:id="47">
    <w:p w14:paraId="00F13679" w14:textId="77777777" w:rsidR="00B731C3" w:rsidRDefault="00B731C3" w:rsidP="00B731C3">
      <w:pPr>
        <w:pStyle w:val="Allmrkusetekst"/>
      </w:pPr>
      <w:r>
        <w:rPr>
          <w:rStyle w:val="Allmrkuseviide"/>
        </w:rPr>
        <w:footnoteRef/>
      </w:r>
      <w:hyperlink r:id="rId35" w:history="1">
        <w:r w:rsidRPr="00BF4C02">
          <w:rPr>
            <w:rFonts w:asciiTheme="minorHAnsi" w:eastAsiaTheme="minorHAnsi" w:hAnsiTheme="minorHAnsi" w:cstheme="minorBidi"/>
            <w:color w:val="0000FF"/>
            <w:u w:val="single"/>
          </w:rPr>
          <w:t>Euroopa Parlamendi ja nõukogu direktiiv (EL) 2024/1275, 24. aprill 2024, hoonete energiatõhususe kohta (uuesti sõnastatud) (EMPs kohaldatav tekst)</w:t>
        </w:r>
      </w:hyperlink>
    </w:p>
  </w:footnote>
  <w:footnote w:id="48">
    <w:p w14:paraId="40C374DB" w14:textId="77777777" w:rsidR="00B731C3" w:rsidRPr="00750CBA" w:rsidRDefault="00B731C3" w:rsidP="00B731C3">
      <w:pPr>
        <w:pStyle w:val="Allmrkusetekst"/>
      </w:pPr>
      <w:r>
        <w:rPr>
          <w:rStyle w:val="Allmrkuseviide"/>
        </w:rPr>
        <w:footnoteRef/>
      </w:r>
      <w:r>
        <w:t xml:space="preserve"> </w:t>
      </w:r>
      <w:r w:rsidRPr="005279A8">
        <w:t xml:space="preserve">energiatõhususe leping – lõpptarbija ja energiateenuse osutaja leping, mille täitmist kontrollitakse ja jälgitakse kogu lepingu kehtivuse aja jooksul ning mille alusel lõpptarbija tasub energiateenuse osutamiseks tehtud investeeringute eest sõltuvalt lepingus kokkulepitud energiatõhususe parandamise tasemest või muust </w:t>
      </w:r>
      <w:r w:rsidRPr="00750CBA">
        <w:t>kokkulepitud energiatõhususe kriteeriumist, näiteks rahalisest säästust.</w:t>
      </w:r>
    </w:p>
  </w:footnote>
  <w:footnote w:id="49">
    <w:p w14:paraId="2566D88B" w14:textId="77777777" w:rsidR="00B731C3" w:rsidRDefault="00B731C3" w:rsidP="00B731C3">
      <w:pPr>
        <w:pStyle w:val="Allmrkusetekst"/>
      </w:pPr>
      <w:r w:rsidRPr="00750CBA">
        <w:rPr>
          <w:rStyle w:val="Allmrkuseviide"/>
        </w:rPr>
        <w:footnoteRef/>
      </w:r>
      <w:r>
        <w:t xml:space="preserve"> </w:t>
      </w:r>
      <w:hyperlink r:id="rId36">
        <w:r w:rsidRPr="21AECC3B">
          <w:rPr>
            <w:rFonts w:asciiTheme="minorHAnsi" w:eastAsiaTheme="minorEastAsia" w:hAnsiTheme="minorHAnsi" w:cstheme="minorBidi"/>
            <w:color w:val="0000FF"/>
            <w:u w:val="single"/>
          </w:rPr>
          <w:t>Juhend avaliku sektori energiatõhususlepingute koostamiseks.docx</w:t>
        </w:r>
      </w:hyperlink>
      <w:r>
        <w:t>.</w:t>
      </w:r>
    </w:p>
  </w:footnote>
  <w:footnote w:id="50">
    <w:p w14:paraId="758E0969" w14:textId="77777777" w:rsidR="00B731C3" w:rsidRPr="00DB2013" w:rsidRDefault="00B731C3" w:rsidP="00B731C3">
      <w:pPr>
        <w:pStyle w:val="Allmrkusetekst"/>
      </w:pPr>
      <w:r w:rsidRPr="00DB2013">
        <w:rPr>
          <w:rStyle w:val="Allmrkuseviide"/>
        </w:rPr>
        <w:footnoteRef/>
      </w:r>
      <w:r w:rsidRPr="00DB2013">
        <w:t xml:space="preserve"> </w:t>
      </w:r>
      <w:hyperlink r:id="rId37" w:history="1">
        <w:r w:rsidRPr="00DB2013">
          <w:rPr>
            <w:rFonts w:asciiTheme="minorHAnsi" w:eastAsiaTheme="minorHAnsi" w:hAnsiTheme="minorHAnsi" w:cstheme="minorBidi"/>
            <w:color w:val="0000FF"/>
            <w:u w:val="single"/>
          </w:rPr>
          <w:t>Eriolukorra seadus–Riigi Teataja</w:t>
        </w:r>
      </w:hyperlink>
      <w:r w:rsidRPr="00DB2013">
        <w:t>.</w:t>
      </w:r>
    </w:p>
  </w:footnote>
  <w:footnote w:id="51">
    <w:p w14:paraId="650BF4D5" w14:textId="77777777" w:rsidR="00B731C3" w:rsidRPr="00B86CBE" w:rsidRDefault="00B731C3" w:rsidP="00B731C3">
      <w:pPr>
        <w:pStyle w:val="Allmrkusetekst"/>
        <w:rPr>
          <w:sz w:val="22"/>
          <w:szCs w:val="22"/>
        </w:rPr>
      </w:pPr>
      <w:r w:rsidRPr="00F773DB">
        <w:rPr>
          <w:rStyle w:val="Allmrkuseviide"/>
          <w:sz w:val="22"/>
          <w:szCs w:val="22"/>
        </w:rPr>
        <w:footnoteRef/>
      </w:r>
      <w:r w:rsidRPr="00F773DB">
        <w:rPr>
          <w:sz w:val="22"/>
          <w:szCs w:val="22"/>
        </w:rPr>
        <w:t xml:space="preserve"> </w:t>
      </w:r>
      <w:hyperlink r:id="rId38" w:history="1">
        <w:r w:rsidRPr="00B86CBE">
          <w:rPr>
            <w:rFonts w:asciiTheme="minorHAnsi" w:eastAsiaTheme="minorHAnsi" w:hAnsiTheme="minorHAnsi" w:cstheme="minorBidi"/>
            <w:color w:val="0000FF"/>
            <w:sz w:val="22"/>
            <w:szCs w:val="22"/>
            <w:u w:val="single"/>
          </w:rPr>
          <w:t>Gaasituru toimimise võrgueeskiri–Riigi Teataja</w:t>
        </w:r>
      </w:hyperlink>
    </w:p>
  </w:footnote>
  <w:footnote w:id="52">
    <w:p w14:paraId="16BC7A9B" w14:textId="77777777" w:rsidR="00B731C3" w:rsidRDefault="00B731C3" w:rsidP="00B731C3">
      <w:pPr>
        <w:pStyle w:val="Allmrkusetekst"/>
      </w:pPr>
      <w:r w:rsidRPr="00B86CBE">
        <w:rPr>
          <w:rStyle w:val="Allmrkuseviide"/>
          <w:sz w:val="22"/>
          <w:szCs w:val="22"/>
        </w:rPr>
        <w:footnoteRef/>
      </w:r>
      <w:r w:rsidRPr="00B86CBE">
        <w:rPr>
          <w:sz w:val="22"/>
          <w:szCs w:val="22"/>
        </w:rPr>
        <w:t xml:space="preserve"> </w:t>
      </w:r>
      <w:hyperlink r:id="rId39" w:history="1">
        <w:r w:rsidRPr="00B86CBE">
          <w:rPr>
            <w:rFonts w:asciiTheme="minorHAnsi" w:eastAsiaTheme="minorHAnsi" w:hAnsiTheme="minorHAnsi" w:cstheme="minorBidi"/>
            <w:color w:val="0000FF"/>
            <w:sz w:val="22"/>
            <w:szCs w:val="22"/>
            <w:u w:val="single"/>
          </w:rPr>
          <w:t>Komisjoni soovitus (EL) 2024/2481, 13. september 2024, milles esitatakse suunised Euroopa Parlamendi ja nõukogu direktiivi (EL) 2023/1791 artiklite 21, 22 ja 24 tõlgendamiseks seoses tarbijaid käsitlevate sätetega</w:t>
        </w:r>
      </w:hyperlink>
    </w:p>
  </w:footnote>
  <w:footnote w:id="53">
    <w:p w14:paraId="57B83D03" w14:textId="77777777" w:rsidR="00B731C3" w:rsidRPr="004842B6" w:rsidRDefault="00B731C3" w:rsidP="00B731C3">
      <w:pPr>
        <w:pStyle w:val="Allmrkusetekst"/>
        <w:rPr>
          <w:sz w:val="22"/>
          <w:szCs w:val="22"/>
        </w:rPr>
      </w:pPr>
      <w:r w:rsidRPr="004842B6">
        <w:rPr>
          <w:rStyle w:val="Allmrkuseviide"/>
          <w:sz w:val="22"/>
          <w:szCs w:val="22"/>
        </w:rPr>
        <w:footnoteRef/>
      </w:r>
      <w:r w:rsidRPr="004842B6">
        <w:rPr>
          <w:sz w:val="22"/>
          <w:szCs w:val="22"/>
        </w:rPr>
        <w:t xml:space="preserve"> </w:t>
      </w:r>
      <w:hyperlink r:id="rId40" w:history="1">
        <w:r w:rsidRPr="004842B6">
          <w:rPr>
            <w:rFonts w:asciiTheme="minorHAnsi" w:eastAsiaTheme="minorHAnsi" w:hAnsiTheme="minorHAnsi" w:cstheme="minorBidi"/>
            <w:color w:val="0000FF"/>
            <w:sz w:val="22"/>
            <w:szCs w:val="22"/>
            <w:u w:val="single"/>
          </w:rPr>
          <w:t>Tarbijakaitseseadus–Riigi Teataja</w:t>
        </w:r>
      </w:hyperlink>
    </w:p>
  </w:footnote>
  <w:footnote w:id="54">
    <w:p w14:paraId="5209787A" w14:textId="77777777" w:rsidR="00B731C3" w:rsidRDefault="00B731C3" w:rsidP="00B731C3">
      <w:pPr>
        <w:pStyle w:val="Allmrkusetekst"/>
      </w:pPr>
      <w:r>
        <w:rPr>
          <w:rStyle w:val="Allmrkuseviide"/>
        </w:rPr>
        <w:footnoteRef/>
      </w:r>
      <w:r>
        <w:t xml:space="preserve"> </w:t>
      </w:r>
      <w:hyperlink r:id="rId41" w:history="1">
        <w:r w:rsidRPr="00050EDB">
          <w:rPr>
            <w:rFonts w:asciiTheme="minorHAnsi" w:eastAsiaTheme="minorHAnsi" w:hAnsiTheme="minorHAnsi" w:cstheme="minorBidi"/>
            <w:color w:val="0000FF"/>
            <w:sz w:val="22"/>
            <w:szCs w:val="22"/>
            <w:u w:val="single"/>
          </w:rPr>
          <w:t>Võlaõigusseadus–Riigi Teataja</w:t>
        </w:r>
      </w:hyperlink>
    </w:p>
  </w:footnote>
  <w:footnote w:id="55">
    <w:p w14:paraId="505FB8BC" w14:textId="77777777" w:rsidR="00B731C3" w:rsidRPr="004842B6" w:rsidRDefault="00B731C3" w:rsidP="00B731C3">
      <w:pPr>
        <w:pStyle w:val="Allmrkusetekst"/>
        <w:rPr>
          <w:sz w:val="22"/>
          <w:szCs w:val="22"/>
        </w:rPr>
      </w:pPr>
      <w:r w:rsidRPr="004842B6">
        <w:rPr>
          <w:rStyle w:val="Allmrkuseviide"/>
          <w:sz w:val="22"/>
          <w:szCs w:val="22"/>
        </w:rPr>
        <w:footnoteRef/>
      </w:r>
      <w:r w:rsidRPr="004842B6">
        <w:rPr>
          <w:sz w:val="22"/>
          <w:szCs w:val="22"/>
        </w:rPr>
        <w:t xml:space="preserve"> </w:t>
      </w:r>
      <w:hyperlink r:id="rId42" w:history="1">
        <w:r w:rsidRPr="004842B6">
          <w:rPr>
            <w:rFonts w:asciiTheme="minorHAnsi" w:eastAsiaTheme="minorHAnsi" w:hAnsiTheme="minorHAnsi" w:cstheme="minorBidi"/>
            <w:color w:val="0000FF"/>
            <w:sz w:val="22"/>
            <w:szCs w:val="22"/>
            <w:u w:val="single"/>
          </w:rPr>
          <w:t>Energiasäästukohustuse jaotuskava–Riigi Teataja</w:t>
        </w:r>
      </w:hyperlink>
      <w:r w:rsidRPr="004842B6">
        <w:rPr>
          <w:rFonts w:asciiTheme="minorHAnsi" w:eastAsiaTheme="minorHAnsi" w:hAnsiTheme="minorHAnsi" w:cstheme="minorBidi"/>
          <w:sz w:val="22"/>
          <w:szCs w:val="22"/>
        </w:rPr>
        <w:t xml:space="preserve"> ja määruse seletuskiri - </w:t>
      </w:r>
      <w:hyperlink r:id="rId43" w:anchor="tcGrVOUL" w:history="1">
        <w:r w:rsidRPr="004842B6">
          <w:rPr>
            <w:rFonts w:asciiTheme="minorHAnsi" w:eastAsiaTheme="minorHAnsi" w:hAnsiTheme="minorHAnsi" w:cstheme="minorBidi"/>
            <w:color w:val="0000FF"/>
            <w:sz w:val="22"/>
            <w:szCs w:val="22"/>
            <w:u w:val="single"/>
          </w:rPr>
          <w:t>Vabariigi Valitsuse määruse „Energiasäästukohustuse jaotuskava“ eelnõu – EIS</w:t>
        </w:r>
      </w:hyperlink>
      <w:r w:rsidRPr="004842B6">
        <w:rPr>
          <w:rFonts w:asciiTheme="minorHAnsi" w:eastAsiaTheme="minorHAnsi" w:hAnsiTheme="minorHAnsi" w:cstheme="minorBidi"/>
          <w:sz w:val="22"/>
          <w:szCs w:val="22"/>
        </w:rPr>
        <w:t xml:space="preserve"> .</w:t>
      </w:r>
    </w:p>
  </w:footnote>
  <w:footnote w:id="56">
    <w:p w14:paraId="033EEB07" w14:textId="77777777" w:rsidR="00B731C3" w:rsidRPr="004842B6" w:rsidRDefault="00B731C3" w:rsidP="00B731C3">
      <w:pPr>
        <w:pStyle w:val="Allmrkusetekst"/>
        <w:rPr>
          <w:sz w:val="22"/>
          <w:szCs w:val="22"/>
        </w:rPr>
      </w:pPr>
      <w:r w:rsidRPr="004842B6">
        <w:rPr>
          <w:rStyle w:val="Allmrkuseviide"/>
          <w:sz w:val="22"/>
          <w:szCs w:val="22"/>
        </w:rPr>
        <w:footnoteRef/>
      </w:r>
      <w:r w:rsidRPr="004842B6">
        <w:rPr>
          <w:sz w:val="22"/>
          <w:szCs w:val="22"/>
        </w:rPr>
        <w:t xml:space="preserve"> </w:t>
      </w:r>
      <w:hyperlink r:id="rId44" w:history="1">
        <w:r w:rsidRPr="004842B6">
          <w:rPr>
            <w:rFonts w:asciiTheme="minorHAnsi" w:eastAsiaTheme="minorHAnsi" w:hAnsiTheme="minorHAnsi" w:cstheme="minorBidi"/>
            <w:color w:val="0000FF"/>
            <w:sz w:val="22"/>
            <w:szCs w:val="22"/>
            <w:u w:val="single"/>
          </w:rPr>
          <w:t>Leibkonnad | Statistikaamet</w:t>
        </w:r>
      </w:hyperlink>
      <w:r w:rsidRPr="004842B6">
        <w:rPr>
          <w:sz w:val="22"/>
          <w:szCs w:val="22"/>
        </w:rPr>
        <w:t>.</w:t>
      </w:r>
    </w:p>
  </w:footnote>
  <w:footnote w:id="57">
    <w:p w14:paraId="1FCB2025" w14:textId="77777777" w:rsidR="00B731C3" w:rsidRDefault="00B731C3" w:rsidP="00B731C3">
      <w:pPr>
        <w:pStyle w:val="Allmrkusetekst"/>
      </w:pPr>
      <w:r w:rsidRPr="003424DE">
        <w:rPr>
          <w:rStyle w:val="Allmrkuseviide"/>
          <w:sz w:val="22"/>
          <w:szCs w:val="22"/>
        </w:rPr>
        <w:footnoteRef/>
      </w:r>
      <w:r w:rsidRPr="003424DE">
        <w:rPr>
          <w:sz w:val="22"/>
          <w:szCs w:val="22"/>
        </w:rPr>
        <w:t xml:space="preserve"> Statistikaameti Eesti Sotsiaaluuringu põhjal avaldatud kogu riigi leibkondade arvuga võrreldes, allikas - Sotsiaalministeeriumi arvutused sotsiaalteenuste ja -toetuste andmeregistri andmetel.</w:t>
      </w:r>
    </w:p>
  </w:footnote>
  <w:footnote w:id="58">
    <w:p w14:paraId="4E9CF28D" w14:textId="77777777" w:rsidR="00B731C3" w:rsidRDefault="00B731C3" w:rsidP="00B731C3">
      <w:pPr>
        <w:pStyle w:val="Allmrkusetekst"/>
      </w:pPr>
      <w:r>
        <w:rPr>
          <w:rStyle w:val="Allmrkuseviide"/>
        </w:rPr>
        <w:footnoteRef/>
      </w:r>
      <w:r>
        <w:t xml:space="preserve"> </w:t>
      </w:r>
      <w:hyperlink r:id="rId45" w:anchor="sotsiaalne-kliimafon" w:history="1">
        <w:r w:rsidRPr="00552145">
          <w:rPr>
            <w:rStyle w:val="Hperlink"/>
          </w:rPr>
          <w:t>https://www.fin.ee/riigi-rahandus-ja-maksud/valistoetused/toetusfondid-ja-programmid#sotsiaalne-kliimafon</w:t>
        </w:r>
      </w:hyperlink>
      <w:r>
        <w:t>.</w:t>
      </w:r>
    </w:p>
  </w:footnote>
  <w:footnote w:id="59">
    <w:p w14:paraId="7611E429" w14:textId="77777777" w:rsidR="00B731C3" w:rsidRDefault="00B731C3" w:rsidP="00B731C3">
      <w:pPr>
        <w:pStyle w:val="Allmrkusetekst"/>
      </w:pPr>
      <w:r>
        <w:rPr>
          <w:rStyle w:val="Allmrkuseviide"/>
        </w:rPr>
        <w:footnoteRef/>
      </w:r>
      <w:r>
        <w:t xml:space="preserve"> Euroopa kvalifikatsiooniraamistik.</w:t>
      </w:r>
    </w:p>
  </w:footnote>
  <w:footnote w:id="60">
    <w:p w14:paraId="276AEA0A" w14:textId="77777777" w:rsidR="00B731C3" w:rsidRDefault="00B731C3" w:rsidP="00B731C3">
      <w:pPr>
        <w:pStyle w:val="Allmrkusetekst"/>
      </w:pPr>
      <w:r>
        <w:rPr>
          <w:rStyle w:val="Allmrkuseviide"/>
        </w:rPr>
        <w:footnoteRef/>
      </w:r>
      <w:r>
        <w:t xml:space="preserve"> </w:t>
      </w:r>
      <w:r w:rsidRPr="00A52FF0">
        <w:t>Lisaks energiale hinnatakse ka ettevõtte toorme kasutust</w:t>
      </w:r>
    </w:p>
  </w:footnote>
  <w:footnote w:id="61">
    <w:p w14:paraId="4BA13FE6" w14:textId="77777777" w:rsidR="00B731C3" w:rsidRDefault="00B731C3" w:rsidP="00B731C3">
      <w:pPr>
        <w:pStyle w:val="Allmrkusetekst"/>
      </w:pPr>
      <w:r>
        <w:rPr>
          <w:rStyle w:val="Allmrkuseviide"/>
        </w:rPr>
        <w:footnoteRef/>
      </w:r>
      <w:hyperlink r:id="rId46" w:history="1">
        <w:r w:rsidRPr="00241A0B">
          <w:rPr>
            <w:rStyle w:val="Hperlink"/>
          </w:rPr>
          <w:t>https://www.kutseregister.ee/ctrl/et/Standardid/exportPdf/11326725/?nocache=p8ee766f28</w:t>
        </w:r>
      </w:hyperlink>
      <w:r>
        <w:t xml:space="preserve">  – punkt A.1.</w:t>
      </w:r>
    </w:p>
  </w:footnote>
  <w:footnote w:id="62">
    <w:p w14:paraId="041D323A" w14:textId="77777777" w:rsidR="00B731C3" w:rsidRPr="00BC7625" w:rsidRDefault="00B731C3" w:rsidP="00B731C3">
      <w:pPr>
        <w:pStyle w:val="Allmrkusetekst"/>
      </w:pPr>
      <w:r w:rsidRPr="00BC7625">
        <w:rPr>
          <w:rStyle w:val="Allmrkuseviide"/>
        </w:rPr>
        <w:footnoteRef/>
      </w:r>
      <w:r w:rsidRPr="00BC7625">
        <w:t xml:space="preserve"> </w:t>
      </w:r>
      <w:hyperlink r:id="rId47" w:history="1">
        <w:r w:rsidRPr="00BC7625">
          <w:rPr>
            <w:rFonts w:asciiTheme="minorHAnsi" w:eastAsiaTheme="minorHAnsi" w:hAnsiTheme="minorHAnsi" w:cstheme="minorBidi"/>
            <w:color w:val="0000FF"/>
            <w:u w:val="single"/>
          </w:rPr>
          <w:t>Energiaauditi miinimumnõuded–Riigi Teataja</w:t>
        </w:r>
      </w:hyperlink>
      <w:r>
        <w:t>.</w:t>
      </w:r>
    </w:p>
  </w:footnote>
  <w:footnote w:id="63">
    <w:p w14:paraId="6F1C7C1C" w14:textId="77777777" w:rsidR="00B731C3" w:rsidRDefault="00B731C3" w:rsidP="00B731C3">
      <w:pPr>
        <w:pStyle w:val="Allmrkusetekst"/>
      </w:pPr>
      <w:r>
        <w:rPr>
          <w:rStyle w:val="Allmrkuseviide"/>
        </w:rPr>
        <w:footnoteRef/>
      </w:r>
      <w:r>
        <w:t xml:space="preserve"> </w:t>
      </w:r>
      <w:hyperlink r:id="rId48" w:history="1">
        <w:r w:rsidRPr="0011001C">
          <w:rPr>
            <w:rFonts w:asciiTheme="minorHAnsi" w:eastAsiaTheme="minorHAnsi" w:hAnsiTheme="minorHAnsi" w:cstheme="minorBidi"/>
            <w:color w:val="0000FF"/>
            <w:sz w:val="22"/>
            <w:szCs w:val="22"/>
            <w:u w:val="single"/>
          </w:rPr>
          <w:t>Mis on Reaalajamajandus (RTE)? | Reaalajamajandus</w:t>
        </w:r>
      </w:hyperlink>
    </w:p>
  </w:footnote>
  <w:footnote w:id="64">
    <w:p w14:paraId="32D24259" w14:textId="77777777" w:rsidR="00B731C3" w:rsidRPr="003A0682" w:rsidRDefault="00B731C3" w:rsidP="00B731C3">
      <w:pPr>
        <w:pStyle w:val="Allmrkusetekst"/>
      </w:pPr>
      <w:r w:rsidRPr="003A0682">
        <w:rPr>
          <w:rStyle w:val="Allmrkuseviide"/>
        </w:rPr>
        <w:footnoteRef/>
      </w:r>
      <w:r w:rsidRPr="003A0682">
        <w:t xml:space="preserve"> Direktiivi lisa 15. - </w:t>
      </w:r>
      <w:hyperlink r:id="rId49" w:history="1">
        <w:r w:rsidRPr="003A0682">
          <w:rPr>
            <w:rFonts w:asciiTheme="minorHAnsi" w:eastAsiaTheme="minorHAnsi" w:hAnsiTheme="minorHAnsi" w:cstheme="minorBidi"/>
            <w:color w:val="0000FF"/>
            <w:u w:val="single"/>
          </w:rPr>
          <w:t>Euroopa Parlamendi ja nõukogu direktiiv (EL) 2023/…, 13. september 2023, mis käsitleb energiatõhusust ja millega muudetakse määrust (EL) 2023/955 (uuesti sõnastatud)</w:t>
        </w:r>
      </w:hyperlink>
      <w:r>
        <w:t>.</w:t>
      </w:r>
    </w:p>
  </w:footnote>
  <w:footnote w:id="65">
    <w:p w14:paraId="474813B1" w14:textId="77777777" w:rsidR="00B731C3" w:rsidRDefault="00B731C3" w:rsidP="00B731C3">
      <w:pPr>
        <w:pStyle w:val="Allmrkusetekst"/>
      </w:pPr>
      <w:r>
        <w:rPr>
          <w:rStyle w:val="Allmrkuseviide"/>
        </w:rPr>
        <w:footnoteRef/>
      </w:r>
      <w:r>
        <w:t xml:space="preserve">Euroopa Liidu </w:t>
      </w:r>
      <w:r w:rsidRPr="001238DB">
        <w:t>elektrooniline aruandlustööriist, mida kasutatakse kasutajate juurdepääsu haldamiseks ja keskkonnaandmete</w:t>
      </w:r>
      <w:r>
        <w:t xml:space="preserve"> ja energiatõhususe </w:t>
      </w:r>
      <w:r w:rsidRPr="001238DB">
        <w:t>aruandluseks</w:t>
      </w:r>
      <w:r>
        <w:t xml:space="preserve">, </w:t>
      </w:r>
      <w:r w:rsidRPr="001238DB">
        <w:t xml:space="preserve">hõlbustades tõhusat keskkonnaandmete </w:t>
      </w:r>
      <w:r>
        <w:t xml:space="preserve">ja energiatõhususe andmete </w:t>
      </w:r>
      <w:r w:rsidRPr="001238DB">
        <w:t>aruandlust ja haldamist</w:t>
      </w:r>
      <w:r>
        <w:t>.</w:t>
      </w:r>
    </w:p>
  </w:footnote>
  <w:footnote w:id="66">
    <w:p w14:paraId="33285275" w14:textId="77777777" w:rsidR="00B731C3" w:rsidRPr="003A0682" w:rsidRDefault="00B731C3" w:rsidP="00B731C3">
      <w:pPr>
        <w:pStyle w:val="Allmrkusetekst"/>
      </w:pPr>
      <w:r w:rsidRPr="003A0682">
        <w:rPr>
          <w:rStyle w:val="Allmrkuseviide"/>
        </w:rPr>
        <w:footnoteRef/>
      </w:r>
      <w:r w:rsidRPr="003A0682">
        <w:t xml:space="preserve"> </w:t>
      </w:r>
      <w:hyperlink r:id="rId50" w:history="1">
        <w:r w:rsidRPr="003A0682">
          <w:rPr>
            <w:rStyle w:val="Hperlink"/>
          </w:rPr>
          <w:t>https://commission.europa.eu/strategy-and-policy/priorities-2019-2024/europe-fit-digital-age/europes-digital-decade-digital-targets-2030_et</w:t>
        </w:r>
      </w:hyperlink>
      <w:r>
        <w:t>.</w:t>
      </w:r>
    </w:p>
  </w:footnote>
  <w:footnote w:id="67">
    <w:p w14:paraId="2CF00E39" w14:textId="77777777" w:rsidR="00B731C3" w:rsidRPr="003A0682" w:rsidRDefault="00B731C3" w:rsidP="00B731C3">
      <w:pPr>
        <w:pStyle w:val="Allmrkusetekst"/>
      </w:pPr>
      <w:r w:rsidRPr="003A0682">
        <w:rPr>
          <w:rStyle w:val="Allmrkuseviide"/>
        </w:rPr>
        <w:footnoteRef/>
      </w:r>
      <w:r w:rsidRPr="003A0682">
        <w:t xml:space="preserve"> </w:t>
      </w:r>
      <w:hyperlink r:id="rId51" w:history="1">
        <w:r w:rsidRPr="003A0682">
          <w:rPr>
            <w:rFonts w:asciiTheme="minorHAnsi" w:eastAsiaTheme="minorHAnsi" w:hAnsiTheme="minorHAnsi" w:cstheme="minorBidi"/>
            <w:color w:val="0000FF"/>
            <w:u w:val="single"/>
          </w:rPr>
          <w:t>How will artificial intelligence transform energy innovation? – Analysis - IEA</w:t>
        </w:r>
      </w:hyperlink>
      <w:r w:rsidRPr="003A0682">
        <w:rPr>
          <w:rFonts w:asciiTheme="minorHAnsi" w:eastAsiaTheme="minorHAnsi" w:hAnsiTheme="minorHAnsi" w:cstheme="minorBidi"/>
        </w:rPr>
        <w:t xml:space="preserve"> ja </w:t>
      </w:r>
      <w:hyperlink r:id="rId52" w:history="1">
        <w:r w:rsidRPr="003A0682">
          <w:rPr>
            <w:rFonts w:asciiTheme="minorHAnsi" w:eastAsiaTheme="minorHAnsi" w:hAnsiTheme="minorHAnsi" w:cstheme="minorBidi"/>
            <w:color w:val="0000FF"/>
            <w:u w:val="single"/>
          </w:rPr>
          <w:t>What the data centre and AI boom could mean for the energy sector – Analysis - IEA</w:t>
        </w:r>
      </w:hyperlink>
      <w:r>
        <w:t>.</w:t>
      </w:r>
    </w:p>
  </w:footnote>
  <w:footnote w:id="68">
    <w:p w14:paraId="105E71A2" w14:textId="77777777" w:rsidR="00B731C3" w:rsidRDefault="00B731C3" w:rsidP="00B731C3">
      <w:pPr>
        <w:pStyle w:val="Allmrkusetekst"/>
      </w:pPr>
      <w:r>
        <w:rPr>
          <w:rStyle w:val="Allmrkuseviide"/>
        </w:rPr>
        <w:footnoteRef/>
      </w:r>
      <w:r>
        <w:t xml:space="preserve"> </w:t>
      </w:r>
      <w:hyperlink r:id="rId53" w:history="1">
        <w:r w:rsidRPr="00BC7017">
          <w:rPr>
            <w:rStyle w:val="Hperlink"/>
          </w:rPr>
          <w:t>https://www.borderstep.org/projekte/eudcear/</w:t>
        </w:r>
      </w:hyperlink>
      <w:r>
        <w:t>.</w:t>
      </w:r>
    </w:p>
  </w:footnote>
  <w:footnote w:id="69">
    <w:p w14:paraId="123A0DED" w14:textId="77777777" w:rsidR="00B731C3" w:rsidRDefault="00B731C3" w:rsidP="00B731C3">
      <w:pPr>
        <w:pStyle w:val="Allmrkusetekst"/>
      </w:pPr>
      <w:r>
        <w:rPr>
          <w:rStyle w:val="Allmrkuseviide"/>
        </w:rPr>
        <w:footnoteRef/>
      </w:r>
      <w:r>
        <w:t xml:space="preserve"> Euroopa liidu strateegia üks osa mis edendab turvalist, jätkusuutlikku, konkurentsivõimelist ja taskukohast ELi energiapoliitikat tarbijate ja ettevõtete jaoks (</w:t>
      </w:r>
      <w:hyperlink r:id="rId54" w:history="1">
        <w:r w:rsidRPr="00BC7017">
          <w:rPr>
            <w:rStyle w:val="Hperlink"/>
          </w:rPr>
          <w:t>https://energy.ec.europa.eu/strategy/energy-union_en?prefLang=et</w:t>
        </w:r>
      </w:hyperlink>
      <w:r>
        <w:t>).</w:t>
      </w:r>
    </w:p>
  </w:footnote>
  <w:footnote w:id="70">
    <w:p w14:paraId="5834E7CE" w14:textId="77777777" w:rsidR="00B731C3" w:rsidRDefault="00B731C3" w:rsidP="00B731C3">
      <w:pPr>
        <w:pStyle w:val="Allmrkusetekst"/>
      </w:pPr>
      <w:r>
        <w:rPr>
          <w:rStyle w:val="Allmrkuseviide"/>
        </w:rPr>
        <w:footnoteRef/>
      </w:r>
      <w:r>
        <w:t xml:space="preserve"> Tarbimiskaja ehk t</w:t>
      </w:r>
      <w:r w:rsidRPr="00A92810">
        <w:t>arbimise juhtimine (DSR – demand side response) on turuosalise poolse elektritarbimise paindlikkuse kasutamine elektrisüsteemi juhtimisel, kusjuures kaasatud võib olla nii elektri tootmise kui tarbimise pool (kodumajapidamised, omavalitsused, avalik sektor, tööstus).</w:t>
      </w:r>
    </w:p>
  </w:footnote>
  <w:footnote w:id="71">
    <w:p w14:paraId="00ADB836" w14:textId="77777777" w:rsidR="00B731C3" w:rsidRPr="0017567F" w:rsidRDefault="00B731C3" w:rsidP="00B731C3">
      <w:pPr>
        <w:pStyle w:val="Allmrkusetekst"/>
        <w:rPr>
          <w:rFonts w:asciiTheme="minorHAnsi" w:eastAsiaTheme="minorHAnsi" w:hAnsiTheme="minorHAnsi" w:cstheme="minorBidi"/>
          <w:sz w:val="18"/>
          <w:szCs w:val="18"/>
        </w:rPr>
      </w:pPr>
      <w:r>
        <w:rPr>
          <w:rStyle w:val="Allmrkuseviide"/>
        </w:rPr>
        <w:footnoteRef/>
      </w:r>
      <w:r>
        <w:t xml:space="preserve"> </w:t>
      </w:r>
      <w:hyperlink r:id="rId55" w:history="1">
        <w:r w:rsidRPr="0017567F">
          <w:rPr>
            <w:rFonts w:asciiTheme="minorHAnsi" w:eastAsiaTheme="minorHAnsi" w:hAnsiTheme="minorHAnsi" w:cstheme="minorBidi"/>
            <w:color w:val="0000FF"/>
            <w:sz w:val="18"/>
            <w:szCs w:val="18"/>
            <w:u w:val="single"/>
          </w:rPr>
          <w:t>The Draghi report on EU competitiveness</w:t>
        </w:r>
      </w:hyperlink>
      <w:r>
        <w:t>.</w:t>
      </w:r>
    </w:p>
  </w:footnote>
  <w:footnote w:id="72">
    <w:p w14:paraId="23809216" w14:textId="77777777" w:rsidR="00B731C3" w:rsidRDefault="00B731C3" w:rsidP="00B731C3">
      <w:pPr>
        <w:pStyle w:val="Allmrkusetekst"/>
      </w:pPr>
      <w:r w:rsidRPr="0017567F">
        <w:rPr>
          <w:rStyle w:val="Allmrkuseviide"/>
          <w:sz w:val="18"/>
          <w:szCs w:val="18"/>
        </w:rPr>
        <w:footnoteRef/>
      </w:r>
      <w:r w:rsidRPr="0017567F">
        <w:rPr>
          <w:sz w:val="18"/>
          <w:szCs w:val="18"/>
        </w:rPr>
        <w:t xml:space="preserve"> </w:t>
      </w:r>
      <w:hyperlink r:id="rId56" w:history="1">
        <w:r w:rsidRPr="0017567F">
          <w:rPr>
            <w:rFonts w:asciiTheme="minorHAnsi" w:eastAsiaTheme="minorHAnsi" w:hAnsiTheme="minorHAnsi" w:cstheme="minorBidi"/>
            <w:color w:val="0000FF"/>
            <w:sz w:val="18"/>
            <w:szCs w:val="18"/>
            <w:u w:val="single"/>
          </w:rPr>
          <w:t>Konkurentsivõime kompass - Consilium</w:t>
        </w:r>
      </w:hyperlink>
      <w:r>
        <w:t>.</w:t>
      </w:r>
    </w:p>
  </w:footnote>
  <w:footnote w:id="73">
    <w:p w14:paraId="16711EC0" w14:textId="77777777" w:rsidR="00B731C3" w:rsidRPr="00901D8B" w:rsidRDefault="00B731C3" w:rsidP="00B731C3">
      <w:pPr>
        <w:pStyle w:val="Allmrkusetekst"/>
        <w:rPr>
          <w:sz w:val="18"/>
          <w:szCs w:val="18"/>
        </w:rPr>
      </w:pPr>
      <w:r w:rsidRPr="00901D8B">
        <w:rPr>
          <w:rStyle w:val="Allmrkuseviide"/>
          <w:sz w:val="18"/>
          <w:szCs w:val="18"/>
        </w:rPr>
        <w:footnoteRef/>
      </w:r>
      <w:r w:rsidRPr="00901D8B">
        <w:rPr>
          <w:sz w:val="18"/>
          <w:szCs w:val="18"/>
        </w:rPr>
        <w:t xml:space="preserve"> </w:t>
      </w:r>
      <w:hyperlink r:id="rId57" w:history="1">
        <w:r w:rsidRPr="00901D8B">
          <w:rPr>
            <w:rFonts w:asciiTheme="minorHAnsi" w:eastAsiaTheme="minorHAnsi" w:hAnsiTheme="minorHAnsi" w:cstheme="minorBidi"/>
            <w:color w:val="0000FF"/>
            <w:sz w:val="18"/>
            <w:szCs w:val="18"/>
            <w:u w:val="single"/>
          </w:rPr>
          <w:t>Puhta tööstuse kokkulepe - Euroopa Komisjon</w:t>
        </w:r>
      </w:hyperlink>
      <w:r>
        <w:t>.</w:t>
      </w:r>
    </w:p>
  </w:footnote>
  <w:footnote w:id="74">
    <w:p w14:paraId="0CB5790B" w14:textId="77777777" w:rsidR="00B731C3" w:rsidRDefault="00B731C3" w:rsidP="00B731C3">
      <w:pPr>
        <w:pStyle w:val="Allmrkusetekst"/>
      </w:pPr>
      <w:r>
        <w:rPr>
          <w:rStyle w:val="Allmrkuseviide"/>
        </w:rPr>
        <w:footnoteRef/>
      </w:r>
      <w:r>
        <w:t xml:space="preserve"> </w:t>
      </w:r>
      <w:hyperlink r:id="rId58" w:history="1">
        <w:r w:rsidRPr="002B65E2">
          <w:rPr>
            <w:rFonts w:asciiTheme="minorHAnsi" w:eastAsiaTheme="minorHAnsi" w:hAnsiTheme="minorHAnsi" w:cstheme="minorBidi"/>
            <w:color w:val="0000FF"/>
            <w:sz w:val="18"/>
            <w:szCs w:val="18"/>
            <w:u w:val="single"/>
          </w:rPr>
          <w:t>Riik toetab 70 miljoni euroga omavalitsushoonete energiatõhusamaks muutmist | Riigi</w:t>
        </w:r>
        <w:r>
          <w:rPr>
            <w:rFonts w:asciiTheme="minorHAnsi" w:eastAsiaTheme="minorHAnsi" w:hAnsiTheme="minorHAnsi" w:cstheme="minorBidi"/>
            <w:color w:val="0000FF"/>
            <w:sz w:val="18"/>
            <w:szCs w:val="18"/>
            <w:u w:val="single"/>
          </w:rPr>
          <w:t>t</w:t>
        </w:r>
        <w:r w:rsidRPr="002B65E2">
          <w:rPr>
            <w:rFonts w:asciiTheme="minorHAnsi" w:eastAsiaTheme="minorHAnsi" w:hAnsiTheme="minorHAnsi" w:cstheme="minorBidi"/>
            <w:color w:val="0000FF"/>
            <w:sz w:val="18"/>
            <w:szCs w:val="18"/>
            <w:u w:val="single"/>
          </w:rPr>
          <w:t>ugiteenuste keskus</w:t>
        </w:r>
      </w:hyperlink>
      <w:r>
        <w:t>.</w:t>
      </w:r>
    </w:p>
  </w:footnote>
  <w:footnote w:id="75">
    <w:p w14:paraId="28F14931" w14:textId="77777777" w:rsidR="00B731C3" w:rsidRDefault="00B731C3" w:rsidP="00B731C3">
      <w:pPr>
        <w:pStyle w:val="Allmrkusetekst"/>
      </w:pPr>
      <w:r>
        <w:rPr>
          <w:rStyle w:val="Allmrkuseviide"/>
        </w:rPr>
        <w:footnoteRef/>
      </w:r>
      <w:r>
        <w:t xml:space="preserve"> </w:t>
      </w:r>
      <w:hyperlink r:id="rId59" w:history="1">
        <w:r w:rsidRPr="004445A1">
          <w:rPr>
            <w:rFonts w:asciiTheme="minorHAnsi" w:eastAsiaTheme="minorHAnsi" w:hAnsiTheme="minorHAnsi" w:cstheme="minorBidi"/>
            <w:color w:val="0000FF"/>
            <w:sz w:val="18"/>
            <w:szCs w:val="18"/>
            <w:u w:val="single"/>
          </w:rPr>
          <w:t>Kinnisvara ülevaade | Minuomavalitsus</w:t>
        </w:r>
      </w:hyperlink>
      <w:r>
        <w:rPr>
          <w:rFonts w:asciiTheme="minorHAnsi" w:eastAsiaTheme="minorHAnsi" w:hAnsiTheme="minorHAnsi" w:cstheme="minorBidi"/>
          <w:sz w:val="22"/>
          <w:szCs w:val="22"/>
        </w:rPr>
        <w:t xml:space="preserve"> </w:t>
      </w:r>
    </w:p>
  </w:footnote>
  <w:footnote w:id="76">
    <w:p w14:paraId="4B91A2BF" w14:textId="77777777" w:rsidR="00B731C3" w:rsidRDefault="00B731C3" w:rsidP="00B731C3">
      <w:pPr>
        <w:pStyle w:val="Allmrkusetekst"/>
      </w:pPr>
      <w:r>
        <w:rPr>
          <w:rStyle w:val="Allmrkuseviide"/>
        </w:rPr>
        <w:footnoteRef/>
      </w:r>
      <w:r>
        <w:t xml:space="preserve"> </w:t>
      </w:r>
      <w:hyperlink r:id="rId60" w:history="1">
        <w:r w:rsidRPr="00873A5F">
          <w:rPr>
            <w:rFonts w:asciiTheme="minorHAnsi" w:eastAsiaTheme="minorHAnsi" w:hAnsiTheme="minorHAnsi" w:cstheme="minorBidi"/>
            <w:color w:val="0000FF"/>
            <w:sz w:val="18"/>
            <w:szCs w:val="18"/>
            <w:u w:val="single"/>
          </w:rPr>
          <w:t>Hoone indikatiivse energiatõhususe klassi reaalajas määramine ning energiatõhususearvu järelevalve automatiseerimine | Riigikantselei</w:t>
        </w:r>
      </w:hyperlink>
      <w:r>
        <w:rPr>
          <w:rFonts w:asciiTheme="minorHAnsi" w:eastAsiaTheme="minorHAnsi" w:hAnsiTheme="minorHAnsi" w:cstheme="minorBidi"/>
          <w:sz w:val="22"/>
          <w:szCs w:val="22"/>
        </w:rPr>
        <w:t>.</w:t>
      </w:r>
    </w:p>
  </w:footnote>
  <w:footnote w:id="77">
    <w:p w14:paraId="2D1D5596" w14:textId="77777777" w:rsidR="00B731C3" w:rsidRDefault="00B731C3" w:rsidP="00B731C3">
      <w:pPr>
        <w:pStyle w:val="Allmrkusetekst"/>
      </w:pPr>
      <w:r>
        <w:rPr>
          <w:rStyle w:val="Allmrkuseviide"/>
        </w:rPr>
        <w:footnoteRef/>
      </w:r>
      <w:r>
        <w:t xml:space="preserve"> </w:t>
      </w:r>
      <w:hyperlink r:id="rId61" w:history="1">
        <w:r w:rsidRPr="007502A4">
          <w:rPr>
            <w:rFonts w:asciiTheme="minorHAnsi" w:eastAsiaTheme="minorHAnsi" w:hAnsiTheme="minorHAnsi" w:cstheme="minorBidi"/>
            <w:color w:val="0000FF"/>
            <w:sz w:val="18"/>
            <w:szCs w:val="18"/>
            <w:u w:val="single"/>
          </w:rPr>
          <w:t>Energiasäästukohustuse jaotuskava–Riigi Teataja</w:t>
        </w:r>
      </w:hyperlink>
      <w:r w:rsidRPr="007502A4">
        <w:rPr>
          <w:rFonts w:asciiTheme="minorHAnsi" w:eastAsiaTheme="minorHAnsi" w:hAnsiTheme="minorHAnsi" w:cstheme="minorBidi"/>
          <w:sz w:val="18"/>
          <w:szCs w:val="18"/>
        </w:rPr>
        <w:t xml:space="preserve"> ja seletuskiri - </w:t>
      </w:r>
      <w:hyperlink r:id="rId62" w:anchor="Fqm3rket" w:history="1">
        <w:r w:rsidRPr="007502A4">
          <w:rPr>
            <w:rFonts w:asciiTheme="minorHAnsi" w:eastAsiaTheme="minorHAnsi" w:hAnsiTheme="minorHAnsi" w:cstheme="minorBidi"/>
            <w:color w:val="0000FF"/>
            <w:sz w:val="18"/>
            <w:szCs w:val="18"/>
            <w:u w:val="single"/>
          </w:rPr>
          <w:t>Vabariigi Valitsuse määruse „Energiasäästukohustuse jaotuskava“ eelnõu – EIS</w:t>
        </w:r>
      </w:hyperlink>
      <w:r>
        <w:t>.</w:t>
      </w:r>
    </w:p>
  </w:footnote>
  <w:footnote w:id="78">
    <w:p w14:paraId="596935B4" w14:textId="77777777" w:rsidR="00B731C3" w:rsidRPr="00CC4E3D" w:rsidRDefault="00B731C3" w:rsidP="00B731C3">
      <w:pPr>
        <w:pStyle w:val="Allmrkusetekst"/>
        <w:rPr>
          <w:sz w:val="18"/>
          <w:szCs w:val="18"/>
        </w:rPr>
      </w:pPr>
      <w:r w:rsidRPr="00CC4E3D">
        <w:rPr>
          <w:rStyle w:val="Allmrkuseviide"/>
          <w:sz w:val="18"/>
          <w:szCs w:val="18"/>
        </w:rPr>
        <w:footnoteRef/>
      </w:r>
      <w:r w:rsidRPr="00CC4E3D">
        <w:rPr>
          <w:sz w:val="18"/>
          <w:szCs w:val="18"/>
        </w:rPr>
        <w:t xml:space="preserve"> </w:t>
      </w:r>
      <w:hyperlink r:id="rId63" w:history="1">
        <w:r w:rsidRPr="00CC4E3D">
          <w:rPr>
            <w:rFonts w:asciiTheme="minorHAnsi" w:eastAsiaTheme="minorHAnsi" w:hAnsiTheme="minorHAnsi" w:cstheme="minorBidi"/>
            <w:color w:val="0000FF"/>
            <w:sz w:val="18"/>
            <w:szCs w:val="18"/>
            <w:u w:val="single"/>
          </w:rPr>
          <w:t>Energiasäästukohustuse jaotuskava lisa</w:t>
        </w:r>
      </w:hyperlink>
      <w:r>
        <w:t>.</w:t>
      </w:r>
    </w:p>
  </w:footnote>
  <w:footnote w:id="79">
    <w:p w14:paraId="343E2EE8" w14:textId="77777777" w:rsidR="00B731C3" w:rsidRDefault="00B731C3" w:rsidP="00B731C3">
      <w:pPr>
        <w:pStyle w:val="Allmrkusetekst"/>
      </w:pPr>
      <w:r w:rsidRPr="00CC4E3D">
        <w:rPr>
          <w:rStyle w:val="Allmrkuseviide"/>
          <w:sz w:val="18"/>
          <w:szCs w:val="18"/>
        </w:rPr>
        <w:footnoteRef/>
      </w:r>
      <w:r w:rsidRPr="00CC4E3D">
        <w:rPr>
          <w:sz w:val="18"/>
          <w:szCs w:val="18"/>
        </w:rPr>
        <w:t xml:space="preserve"> </w:t>
      </w:r>
      <w:hyperlink r:id="rId64" w:history="1">
        <w:r w:rsidRPr="009D5C75">
          <w:rPr>
            <w:rFonts w:asciiTheme="minorHAnsi" w:eastAsiaTheme="minorHAnsi" w:hAnsiTheme="minorHAnsi" w:cstheme="minorBidi"/>
            <w:color w:val="0000FF"/>
            <w:sz w:val="18"/>
            <w:szCs w:val="18"/>
            <w:u w:val="single"/>
          </w:rPr>
          <w:t>Estonia_RenoWave_Comprehensive Executive Summary.pdf</w:t>
        </w:r>
      </w:hyperlink>
      <w:r w:rsidRPr="009D5C75">
        <w:rPr>
          <w:rFonts w:asciiTheme="minorHAnsi" w:eastAsiaTheme="minorHAnsi" w:hAnsiTheme="minorHAnsi" w:cstheme="minorBidi"/>
          <w:sz w:val="18"/>
          <w:szCs w:val="18"/>
        </w:rPr>
        <w:t xml:space="preserve">, </w:t>
      </w:r>
      <w:hyperlink r:id="rId65" w:history="1">
        <w:r w:rsidRPr="009D5C75">
          <w:rPr>
            <w:rFonts w:asciiTheme="minorHAnsi" w:eastAsiaTheme="minorHAnsi" w:hAnsiTheme="minorHAnsi" w:cstheme="minorBidi"/>
            <w:color w:val="0000FF"/>
            <w:sz w:val="18"/>
            <w:szCs w:val="18"/>
            <w:u w:val="single"/>
          </w:rPr>
          <w:t>Energiatõhususe uuringud | Energiatalgud</w:t>
        </w:r>
      </w:hyperlink>
      <w:r>
        <w:t>.</w:t>
      </w:r>
    </w:p>
  </w:footnote>
  <w:footnote w:id="80">
    <w:p w14:paraId="509A3F11" w14:textId="77777777" w:rsidR="00B731C3" w:rsidRPr="005B63C5" w:rsidRDefault="00B731C3" w:rsidP="00B731C3">
      <w:pPr>
        <w:pStyle w:val="Allmrkusetekst"/>
        <w:rPr>
          <w:sz w:val="18"/>
          <w:szCs w:val="18"/>
        </w:rPr>
      </w:pPr>
      <w:r w:rsidRPr="005B63C5">
        <w:rPr>
          <w:rStyle w:val="Allmrkuseviide"/>
          <w:sz w:val="18"/>
          <w:szCs w:val="18"/>
        </w:rPr>
        <w:footnoteRef/>
      </w:r>
      <w:r w:rsidRPr="005B63C5">
        <w:rPr>
          <w:sz w:val="18"/>
          <w:szCs w:val="18"/>
        </w:rPr>
        <w:t xml:space="preserve"> </w:t>
      </w:r>
      <w:hyperlink r:id="rId66" w:history="1">
        <w:r w:rsidRPr="005B63C5">
          <w:rPr>
            <w:rFonts w:asciiTheme="minorHAnsi" w:eastAsiaTheme="minorHAnsi" w:hAnsiTheme="minorHAnsi" w:cstheme="minorBidi"/>
            <w:color w:val="0000FF"/>
            <w:sz w:val="18"/>
            <w:szCs w:val="18"/>
            <w:u w:val="single"/>
          </w:rPr>
          <w:t>Soojusvarustuse kulude arvestamise ja jaotamise metoodika–Riigi Teataja</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37CE6" w14:textId="77777777" w:rsidR="000A03EF" w:rsidRDefault="000A03EF">
    <w:pPr>
      <w:pStyle w:val="Pi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C4D75" w14:textId="77777777" w:rsidR="000A03EF" w:rsidRDefault="000A03EF">
    <w:pPr>
      <w:pStyle w:val="Pi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D2227" w14:textId="77777777" w:rsidR="000A03EF" w:rsidRDefault="000A03EF">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D048A"/>
    <w:multiLevelType w:val="multilevel"/>
    <w:tmpl w:val="BA525FBA"/>
    <w:lvl w:ilvl="0">
      <w:start w:val="1"/>
      <w:numFmt w:val="decimal"/>
      <w:lvlRestart w:val="0"/>
      <w:pStyle w:val="HeadingofAppendix"/>
      <w:lvlText w:val="Appendix %1."/>
      <w:lvlJc w:val="left"/>
      <w:pPr>
        <w:tabs>
          <w:tab w:val="num" w:pos="2268"/>
        </w:tabs>
        <w:ind w:left="2268" w:hanging="1911"/>
      </w:pPr>
    </w:lvl>
    <w:lvl w:ilvl="1">
      <w:start w:val="1"/>
      <w:numFmt w:val="decimal"/>
      <w:pStyle w:val="TextofAppendixlevel1"/>
      <w:lvlText w:val="%2."/>
      <w:lvlJc w:val="left"/>
      <w:pPr>
        <w:tabs>
          <w:tab w:val="num" w:pos="964"/>
        </w:tabs>
        <w:ind w:left="964" w:hanging="964"/>
      </w:pPr>
    </w:lvl>
    <w:lvl w:ilvl="2">
      <w:start w:val="1"/>
      <w:numFmt w:val="decimal"/>
      <w:pStyle w:val="TextofAppendixlevel2"/>
      <w:lvlText w:val="%2.%3."/>
      <w:lvlJc w:val="left"/>
      <w:pPr>
        <w:tabs>
          <w:tab w:val="num" w:pos="964"/>
        </w:tabs>
        <w:ind w:left="964" w:hanging="964"/>
      </w:pPr>
    </w:lvl>
    <w:lvl w:ilvl="3">
      <w:start w:val="1"/>
      <w:numFmt w:val="lowerLetter"/>
      <w:pStyle w:val="TextofAppendixlevel3"/>
      <w:lvlText w:val="(%4)"/>
      <w:lvlJc w:val="left"/>
      <w:pPr>
        <w:tabs>
          <w:tab w:val="num" w:pos="1928"/>
        </w:tabs>
        <w:ind w:left="1928" w:hanging="851"/>
      </w:pPr>
    </w:lvl>
    <w:lvl w:ilvl="4">
      <w:start w:val="1"/>
      <w:numFmt w:val="lowerRoman"/>
      <w:pStyle w:val="TextofAppendixlevel4"/>
      <w:lvlText w:val="(%5)"/>
      <w:lvlJc w:val="left"/>
      <w:pPr>
        <w:tabs>
          <w:tab w:val="num" w:pos="2835"/>
        </w:tabs>
        <w:ind w:left="2835" w:hanging="851"/>
      </w:pPr>
    </w:lvl>
    <w:lvl w:ilvl="5">
      <w:start w:val="1"/>
      <w:numFmt w:val="lowerLetter"/>
      <w:pStyle w:val="Pealkiri6"/>
      <w:lvlText w:val="(%6)"/>
      <w:lvlJc w:val="left"/>
      <w:pPr>
        <w:tabs>
          <w:tab w:val="num" w:pos="3960"/>
        </w:tabs>
        <w:ind w:left="3600" w:firstLine="0"/>
      </w:pPr>
    </w:lvl>
    <w:lvl w:ilvl="6">
      <w:start w:val="1"/>
      <w:numFmt w:val="lowerRoman"/>
      <w:pStyle w:val="Pealkiri7"/>
      <w:lvlText w:val="(%7)"/>
      <w:lvlJc w:val="left"/>
      <w:pPr>
        <w:tabs>
          <w:tab w:val="num" w:pos="4680"/>
        </w:tabs>
        <w:ind w:left="4320" w:firstLine="0"/>
      </w:pPr>
    </w:lvl>
    <w:lvl w:ilvl="7">
      <w:start w:val="1"/>
      <w:numFmt w:val="lowerLetter"/>
      <w:pStyle w:val="Pealkiri8"/>
      <w:lvlText w:val="(%8)"/>
      <w:lvlJc w:val="left"/>
      <w:pPr>
        <w:tabs>
          <w:tab w:val="num" w:pos="5400"/>
        </w:tabs>
        <w:ind w:left="5040" w:firstLine="0"/>
      </w:pPr>
    </w:lvl>
    <w:lvl w:ilvl="8">
      <w:start w:val="1"/>
      <w:numFmt w:val="lowerRoman"/>
      <w:pStyle w:val="Pealkiri9"/>
      <w:lvlText w:val="(%9)"/>
      <w:lvlJc w:val="left"/>
      <w:pPr>
        <w:tabs>
          <w:tab w:val="num" w:pos="6120"/>
        </w:tabs>
        <w:ind w:left="5760" w:firstLine="0"/>
      </w:pPr>
    </w:lvl>
  </w:abstractNum>
  <w:abstractNum w:abstractNumId="1" w15:restartNumberingAfterBreak="0">
    <w:nsid w:val="023263C3"/>
    <w:multiLevelType w:val="hybridMultilevel"/>
    <w:tmpl w:val="63983324"/>
    <w:lvl w:ilvl="0" w:tplc="BC62B290">
      <w:start w:val="1"/>
      <w:numFmt w:val="decimal"/>
      <w:lvlText w:val="%1)"/>
      <w:lvlJc w:val="left"/>
      <w:pPr>
        <w:ind w:left="720" w:hanging="360"/>
      </w:pPr>
      <w:rPr>
        <w:rFonts w:eastAsiaTheme="minorHAnsi"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049C1348"/>
    <w:multiLevelType w:val="hybridMultilevel"/>
    <w:tmpl w:val="D444E040"/>
    <w:lvl w:ilvl="0" w:tplc="C9A4322C">
      <w:start w:val="1"/>
      <w:numFmt w:val="decimal"/>
      <w:pStyle w:val="SLOExhibitListENG"/>
      <w:lvlText w:val="Exhibit %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07A44752"/>
    <w:multiLevelType w:val="hybridMultilevel"/>
    <w:tmpl w:val="46ACB176"/>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08DA47BB"/>
    <w:multiLevelType w:val="hybridMultilevel"/>
    <w:tmpl w:val="6730061C"/>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097906A5"/>
    <w:multiLevelType w:val="hybridMultilevel"/>
    <w:tmpl w:val="52C8431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1ADB0C43"/>
    <w:multiLevelType w:val="hybridMultilevel"/>
    <w:tmpl w:val="DB003BC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1B012DAB"/>
    <w:multiLevelType w:val="hybridMultilevel"/>
    <w:tmpl w:val="BB38EFDA"/>
    <w:lvl w:ilvl="0" w:tplc="F42CC644">
      <w:start w:val="1"/>
      <w:numFmt w:val="decimal"/>
      <w:lvlText w:val="%1)"/>
      <w:lvlJc w:val="left"/>
      <w:pPr>
        <w:ind w:left="420" w:hanging="360"/>
      </w:pPr>
      <w:rPr>
        <w:rFonts w:hint="default"/>
      </w:rPr>
    </w:lvl>
    <w:lvl w:ilvl="1" w:tplc="04250019" w:tentative="1">
      <w:start w:val="1"/>
      <w:numFmt w:val="lowerLetter"/>
      <w:lvlText w:val="%2."/>
      <w:lvlJc w:val="left"/>
      <w:pPr>
        <w:ind w:left="1140" w:hanging="360"/>
      </w:pPr>
    </w:lvl>
    <w:lvl w:ilvl="2" w:tplc="0425001B" w:tentative="1">
      <w:start w:val="1"/>
      <w:numFmt w:val="lowerRoman"/>
      <w:lvlText w:val="%3."/>
      <w:lvlJc w:val="right"/>
      <w:pPr>
        <w:ind w:left="1860" w:hanging="180"/>
      </w:pPr>
    </w:lvl>
    <w:lvl w:ilvl="3" w:tplc="0425000F" w:tentative="1">
      <w:start w:val="1"/>
      <w:numFmt w:val="decimal"/>
      <w:lvlText w:val="%4."/>
      <w:lvlJc w:val="left"/>
      <w:pPr>
        <w:ind w:left="2580" w:hanging="360"/>
      </w:pPr>
    </w:lvl>
    <w:lvl w:ilvl="4" w:tplc="04250019" w:tentative="1">
      <w:start w:val="1"/>
      <w:numFmt w:val="lowerLetter"/>
      <w:lvlText w:val="%5."/>
      <w:lvlJc w:val="left"/>
      <w:pPr>
        <w:ind w:left="3300" w:hanging="360"/>
      </w:pPr>
    </w:lvl>
    <w:lvl w:ilvl="5" w:tplc="0425001B" w:tentative="1">
      <w:start w:val="1"/>
      <w:numFmt w:val="lowerRoman"/>
      <w:lvlText w:val="%6."/>
      <w:lvlJc w:val="right"/>
      <w:pPr>
        <w:ind w:left="4020" w:hanging="180"/>
      </w:pPr>
    </w:lvl>
    <w:lvl w:ilvl="6" w:tplc="0425000F" w:tentative="1">
      <w:start w:val="1"/>
      <w:numFmt w:val="decimal"/>
      <w:lvlText w:val="%7."/>
      <w:lvlJc w:val="left"/>
      <w:pPr>
        <w:ind w:left="4740" w:hanging="360"/>
      </w:pPr>
    </w:lvl>
    <w:lvl w:ilvl="7" w:tplc="04250019" w:tentative="1">
      <w:start w:val="1"/>
      <w:numFmt w:val="lowerLetter"/>
      <w:lvlText w:val="%8."/>
      <w:lvlJc w:val="left"/>
      <w:pPr>
        <w:ind w:left="5460" w:hanging="360"/>
      </w:pPr>
    </w:lvl>
    <w:lvl w:ilvl="8" w:tplc="0425001B" w:tentative="1">
      <w:start w:val="1"/>
      <w:numFmt w:val="lowerRoman"/>
      <w:lvlText w:val="%9."/>
      <w:lvlJc w:val="right"/>
      <w:pPr>
        <w:ind w:left="6180" w:hanging="180"/>
      </w:pPr>
    </w:lvl>
  </w:abstractNum>
  <w:abstractNum w:abstractNumId="8" w15:restartNumberingAfterBreak="0">
    <w:nsid w:val="1B3866DB"/>
    <w:multiLevelType w:val="multilevel"/>
    <w:tmpl w:val="A4EEC5B2"/>
    <w:lvl w:ilvl="0">
      <w:start w:val="1"/>
      <w:numFmt w:val="bullet"/>
      <w:lvlRestart w:val="0"/>
      <w:pStyle w:val="SLOList"/>
      <w:lvlText w:val="-"/>
      <w:lvlJc w:val="left"/>
      <w:pPr>
        <w:tabs>
          <w:tab w:val="num" w:pos="714"/>
        </w:tabs>
        <w:ind w:left="714" w:hanging="357"/>
      </w:pPr>
      <w:rPr>
        <w:rFonts w:ascii="Times New Roman" w:hAnsi="Times New Roman" w:cs="Times New Roman" w:hint="default"/>
      </w:rPr>
    </w:lvl>
    <w:lvl w:ilvl="1">
      <w:start w:val="1"/>
      <w:numFmt w:val="bullet"/>
      <w:lvlText w:val=""/>
      <w:lvlJc w:val="left"/>
      <w:pPr>
        <w:tabs>
          <w:tab w:val="num" w:pos="1077"/>
        </w:tabs>
        <w:ind w:left="1077" w:hanging="363"/>
      </w:pPr>
      <w:rPr>
        <w:rFonts w:ascii="Times New Roman" w:hAnsi="Times New Roman" w:cs="Times New Roman"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15:restartNumberingAfterBreak="0">
    <w:nsid w:val="22165C93"/>
    <w:multiLevelType w:val="hybridMultilevel"/>
    <w:tmpl w:val="22FA2562"/>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24A75A3E"/>
    <w:multiLevelType w:val="multilevel"/>
    <w:tmpl w:val="1CD2FE92"/>
    <w:lvl w:ilvl="0">
      <w:start w:val="1"/>
      <w:numFmt w:val="decimal"/>
      <w:lvlRestart w:val="0"/>
      <w:pStyle w:val="NCNumbering"/>
      <w:lvlText w:val="%1."/>
      <w:lvlJc w:val="left"/>
      <w:pPr>
        <w:tabs>
          <w:tab w:val="num" w:pos="567"/>
        </w:tabs>
        <w:ind w:left="0" w:firstLine="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24B44D01"/>
    <w:multiLevelType w:val="hybridMultilevel"/>
    <w:tmpl w:val="FE48C80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26DF6481"/>
    <w:multiLevelType w:val="multilevel"/>
    <w:tmpl w:val="54A494C4"/>
    <w:lvl w:ilvl="0">
      <w:start w:val="1"/>
      <w:numFmt w:val="decimal"/>
      <w:lvlRestart w:val="0"/>
      <w:pStyle w:val="SLOlistofparties"/>
      <w:lvlText w:val="(%1)"/>
      <w:lvlJc w:val="left"/>
      <w:pPr>
        <w:tabs>
          <w:tab w:val="num" w:pos="964"/>
        </w:tabs>
        <w:ind w:left="964" w:hanging="964"/>
      </w:pPr>
      <w:rPr>
        <w:rFonts w:hint="default"/>
      </w:rPr>
    </w:lvl>
    <w:lvl w:ilvl="1">
      <w:start w:val="1"/>
      <w:numFmt w:val="upperLetter"/>
      <w:pStyle w:val="SLOlistofrecitals"/>
      <w:lvlText w:val="(%2)"/>
      <w:lvlJc w:val="left"/>
      <w:pPr>
        <w:tabs>
          <w:tab w:val="num" w:pos="964"/>
        </w:tabs>
        <w:ind w:left="964" w:hanging="964"/>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3" w15:restartNumberingAfterBreak="0">
    <w:nsid w:val="2A5113F7"/>
    <w:multiLevelType w:val="hybridMultilevel"/>
    <w:tmpl w:val="2520A64A"/>
    <w:lvl w:ilvl="0" w:tplc="D43A41F0">
      <w:start w:val="1"/>
      <w:numFmt w:val="bullet"/>
      <w:lvlText w:val=""/>
      <w:lvlJc w:val="left"/>
      <w:pPr>
        <w:ind w:left="2140" w:hanging="360"/>
      </w:pPr>
      <w:rPr>
        <w:rFonts w:ascii="Symbol" w:hAnsi="Symbol"/>
      </w:rPr>
    </w:lvl>
    <w:lvl w:ilvl="1" w:tplc="0726968E">
      <w:start w:val="1"/>
      <w:numFmt w:val="bullet"/>
      <w:lvlText w:val=""/>
      <w:lvlJc w:val="left"/>
      <w:pPr>
        <w:ind w:left="2140" w:hanging="360"/>
      </w:pPr>
      <w:rPr>
        <w:rFonts w:ascii="Symbol" w:hAnsi="Symbol"/>
      </w:rPr>
    </w:lvl>
    <w:lvl w:ilvl="2" w:tplc="73284EC4">
      <w:start w:val="1"/>
      <w:numFmt w:val="bullet"/>
      <w:lvlText w:val=""/>
      <w:lvlJc w:val="left"/>
      <w:pPr>
        <w:ind w:left="2140" w:hanging="360"/>
      </w:pPr>
      <w:rPr>
        <w:rFonts w:ascii="Symbol" w:hAnsi="Symbol"/>
      </w:rPr>
    </w:lvl>
    <w:lvl w:ilvl="3" w:tplc="2A649AFA">
      <w:start w:val="1"/>
      <w:numFmt w:val="bullet"/>
      <w:lvlText w:val=""/>
      <w:lvlJc w:val="left"/>
      <w:pPr>
        <w:ind w:left="2140" w:hanging="360"/>
      </w:pPr>
      <w:rPr>
        <w:rFonts w:ascii="Symbol" w:hAnsi="Symbol"/>
      </w:rPr>
    </w:lvl>
    <w:lvl w:ilvl="4" w:tplc="F20AF0D4">
      <w:start w:val="1"/>
      <w:numFmt w:val="bullet"/>
      <w:lvlText w:val=""/>
      <w:lvlJc w:val="left"/>
      <w:pPr>
        <w:ind w:left="2140" w:hanging="360"/>
      </w:pPr>
      <w:rPr>
        <w:rFonts w:ascii="Symbol" w:hAnsi="Symbol"/>
      </w:rPr>
    </w:lvl>
    <w:lvl w:ilvl="5" w:tplc="98628CDC">
      <w:start w:val="1"/>
      <w:numFmt w:val="bullet"/>
      <w:lvlText w:val=""/>
      <w:lvlJc w:val="left"/>
      <w:pPr>
        <w:ind w:left="2140" w:hanging="360"/>
      </w:pPr>
      <w:rPr>
        <w:rFonts w:ascii="Symbol" w:hAnsi="Symbol"/>
      </w:rPr>
    </w:lvl>
    <w:lvl w:ilvl="6" w:tplc="70FAC35E">
      <w:start w:val="1"/>
      <w:numFmt w:val="bullet"/>
      <w:lvlText w:val=""/>
      <w:lvlJc w:val="left"/>
      <w:pPr>
        <w:ind w:left="2140" w:hanging="360"/>
      </w:pPr>
      <w:rPr>
        <w:rFonts w:ascii="Symbol" w:hAnsi="Symbol"/>
      </w:rPr>
    </w:lvl>
    <w:lvl w:ilvl="7" w:tplc="84727532">
      <w:start w:val="1"/>
      <w:numFmt w:val="bullet"/>
      <w:lvlText w:val=""/>
      <w:lvlJc w:val="left"/>
      <w:pPr>
        <w:ind w:left="2140" w:hanging="360"/>
      </w:pPr>
      <w:rPr>
        <w:rFonts w:ascii="Symbol" w:hAnsi="Symbol"/>
      </w:rPr>
    </w:lvl>
    <w:lvl w:ilvl="8" w:tplc="8F36A294">
      <w:start w:val="1"/>
      <w:numFmt w:val="bullet"/>
      <w:lvlText w:val=""/>
      <w:lvlJc w:val="left"/>
      <w:pPr>
        <w:ind w:left="2140" w:hanging="360"/>
      </w:pPr>
      <w:rPr>
        <w:rFonts w:ascii="Symbol" w:hAnsi="Symbol"/>
      </w:rPr>
    </w:lvl>
  </w:abstractNum>
  <w:abstractNum w:abstractNumId="14" w15:restartNumberingAfterBreak="0">
    <w:nsid w:val="2ADF6921"/>
    <w:multiLevelType w:val="hybridMultilevel"/>
    <w:tmpl w:val="B420A02A"/>
    <w:lvl w:ilvl="0" w:tplc="E4807E38">
      <w:start w:val="1"/>
      <w:numFmt w:val="bullet"/>
      <w:lvlText w:val=""/>
      <w:lvlJc w:val="left"/>
      <w:pPr>
        <w:ind w:left="1080" w:hanging="360"/>
      </w:pPr>
      <w:rPr>
        <w:rFonts w:ascii="Symbol" w:hAnsi="Symbol"/>
      </w:rPr>
    </w:lvl>
    <w:lvl w:ilvl="1" w:tplc="978674C8">
      <w:start w:val="1"/>
      <w:numFmt w:val="bullet"/>
      <w:lvlText w:val=""/>
      <w:lvlJc w:val="left"/>
      <w:pPr>
        <w:ind w:left="1080" w:hanging="360"/>
      </w:pPr>
      <w:rPr>
        <w:rFonts w:ascii="Symbol" w:hAnsi="Symbol"/>
      </w:rPr>
    </w:lvl>
    <w:lvl w:ilvl="2" w:tplc="A4BC735E">
      <w:start w:val="1"/>
      <w:numFmt w:val="bullet"/>
      <w:lvlText w:val=""/>
      <w:lvlJc w:val="left"/>
      <w:pPr>
        <w:ind w:left="1080" w:hanging="360"/>
      </w:pPr>
      <w:rPr>
        <w:rFonts w:ascii="Symbol" w:hAnsi="Symbol"/>
      </w:rPr>
    </w:lvl>
    <w:lvl w:ilvl="3" w:tplc="6DFAB34C">
      <w:start w:val="1"/>
      <w:numFmt w:val="bullet"/>
      <w:lvlText w:val=""/>
      <w:lvlJc w:val="left"/>
      <w:pPr>
        <w:ind w:left="1080" w:hanging="360"/>
      </w:pPr>
      <w:rPr>
        <w:rFonts w:ascii="Symbol" w:hAnsi="Symbol"/>
      </w:rPr>
    </w:lvl>
    <w:lvl w:ilvl="4" w:tplc="FA5E80F2">
      <w:start w:val="1"/>
      <w:numFmt w:val="bullet"/>
      <w:lvlText w:val=""/>
      <w:lvlJc w:val="left"/>
      <w:pPr>
        <w:ind w:left="1080" w:hanging="360"/>
      </w:pPr>
      <w:rPr>
        <w:rFonts w:ascii="Symbol" w:hAnsi="Symbol"/>
      </w:rPr>
    </w:lvl>
    <w:lvl w:ilvl="5" w:tplc="299C9BDE">
      <w:start w:val="1"/>
      <w:numFmt w:val="bullet"/>
      <w:lvlText w:val=""/>
      <w:lvlJc w:val="left"/>
      <w:pPr>
        <w:ind w:left="1080" w:hanging="360"/>
      </w:pPr>
      <w:rPr>
        <w:rFonts w:ascii="Symbol" w:hAnsi="Symbol"/>
      </w:rPr>
    </w:lvl>
    <w:lvl w:ilvl="6" w:tplc="F9E09DA0">
      <w:start w:val="1"/>
      <w:numFmt w:val="bullet"/>
      <w:lvlText w:val=""/>
      <w:lvlJc w:val="left"/>
      <w:pPr>
        <w:ind w:left="1080" w:hanging="360"/>
      </w:pPr>
      <w:rPr>
        <w:rFonts w:ascii="Symbol" w:hAnsi="Symbol"/>
      </w:rPr>
    </w:lvl>
    <w:lvl w:ilvl="7" w:tplc="AFD8797A">
      <w:start w:val="1"/>
      <w:numFmt w:val="bullet"/>
      <w:lvlText w:val=""/>
      <w:lvlJc w:val="left"/>
      <w:pPr>
        <w:ind w:left="1080" w:hanging="360"/>
      </w:pPr>
      <w:rPr>
        <w:rFonts w:ascii="Symbol" w:hAnsi="Symbol"/>
      </w:rPr>
    </w:lvl>
    <w:lvl w:ilvl="8" w:tplc="BEDC9088">
      <w:start w:val="1"/>
      <w:numFmt w:val="bullet"/>
      <w:lvlText w:val=""/>
      <w:lvlJc w:val="left"/>
      <w:pPr>
        <w:ind w:left="1080" w:hanging="360"/>
      </w:pPr>
      <w:rPr>
        <w:rFonts w:ascii="Symbol" w:hAnsi="Symbol"/>
      </w:rPr>
    </w:lvl>
  </w:abstractNum>
  <w:abstractNum w:abstractNumId="15" w15:restartNumberingAfterBreak="0">
    <w:nsid w:val="2BC31F63"/>
    <w:multiLevelType w:val="hybridMultilevel"/>
    <w:tmpl w:val="1660A858"/>
    <w:lvl w:ilvl="0" w:tplc="04250011">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2D71019B"/>
    <w:multiLevelType w:val="hybridMultilevel"/>
    <w:tmpl w:val="7BC48606"/>
    <w:lvl w:ilvl="0" w:tplc="0A92F6E0">
      <w:start w:val="1"/>
      <w:numFmt w:val="decimal"/>
      <w:lvlText w:val="%1)"/>
      <w:lvlJc w:val="left"/>
      <w:pPr>
        <w:ind w:left="720" w:hanging="360"/>
      </w:pPr>
      <w:rPr>
        <w:rFonts w:eastAsiaTheme="minorHAnsi" w:hint="default"/>
        <w:b/>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15:restartNumberingAfterBreak="0">
    <w:nsid w:val="314A267F"/>
    <w:multiLevelType w:val="multilevel"/>
    <w:tmpl w:val="EBC0C64A"/>
    <w:lvl w:ilvl="0">
      <w:start w:val="1"/>
      <w:numFmt w:val="decimal"/>
      <w:pStyle w:val="ENG-1stlevelheading"/>
      <w:lvlText w:val="%1."/>
      <w:lvlJc w:val="left"/>
      <w:pPr>
        <w:ind w:left="709" w:hanging="709"/>
      </w:pPr>
      <w:rPr>
        <w:rFonts w:ascii="Times New Roman" w:hAnsi="Times New Roman" w:hint="default"/>
        <w:b/>
        <w:i w:val="0"/>
        <w:sz w:val="24"/>
      </w:rPr>
    </w:lvl>
    <w:lvl w:ilvl="1">
      <w:start w:val="1"/>
      <w:numFmt w:val="decimal"/>
      <w:pStyle w:val="ENG-2ndlevelheading"/>
      <w:lvlText w:val="%1.%2."/>
      <w:lvlJc w:val="left"/>
      <w:pPr>
        <w:ind w:left="709" w:hanging="709"/>
      </w:pPr>
      <w:rPr>
        <w:rFonts w:hint="default"/>
      </w:rPr>
    </w:lvl>
    <w:lvl w:ilvl="2">
      <w:start w:val="1"/>
      <w:numFmt w:val="decimal"/>
      <w:pStyle w:val="ENG-3rdlevelsubprovision"/>
      <w:lvlText w:val="%1.%2.%3."/>
      <w:lvlJc w:val="left"/>
      <w:pPr>
        <w:ind w:left="709" w:hanging="709"/>
      </w:pPr>
      <w:rPr>
        <w:rFonts w:hint="default"/>
      </w:rPr>
    </w:lvl>
    <w:lvl w:ilvl="3">
      <w:start w:val="1"/>
      <w:numFmt w:val="decimal"/>
      <w:lvlRestart w:val="0"/>
      <w:pStyle w:val="ENG-Listwith1"/>
      <w:lvlText w:val="%4."/>
      <w:lvlJc w:val="left"/>
      <w:pPr>
        <w:ind w:left="709" w:hanging="709"/>
      </w:pPr>
      <w:rPr>
        <w:rFonts w:hint="default"/>
      </w:rPr>
    </w:lvl>
    <w:lvl w:ilvl="4">
      <w:start w:val="1"/>
      <w:numFmt w:val="lowerLetter"/>
      <w:pStyle w:val="ENG-4thlevellist"/>
      <w:lvlText w:val="(%5)"/>
      <w:lvlJc w:val="left"/>
      <w:pPr>
        <w:ind w:left="1089" w:hanging="380"/>
      </w:pPr>
      <w:rPr>
        <w:rFonts w:hint="default"/>
      </w:rPr>
    </w:lvl>
    <w:lvl w:ilvl="5">
      <w:start w:val="1"/>
      <w:numFmt w:val="lowerRoman"/>
      <w:pStyle w:val="ENG-5thlevel"/>
      <w:lvlText w:val="(%6)"/>
      <w:lvlJc w:val="left"/>
      <w:pPr>
        <w:ind w:left="1469" w:hanging="380"/>
      </w:pPr>
      <w:rPr>
        <w:rFont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37269D5"/>
    <w:multiLevelType w:val="hybridMultilevel"/>
    <w:tmpl w:val="A6D6FE50"/>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15:restartNumberingAfterBreak="0">
    <w:nsid w:val="34125560"/>
    <w:multiLevelType w:val="multilevel"/>
    <w:tmpl w:val="780E3D60"/>
    <w:lvl w:ilvl="0">
      <w:start w:val="1"/>
      <w:numFmt w:val="decimal"/>
      <w:pStyle w:val="SLONumberedList"/>
      <w:lvlText w:val="%1."/>
      <w:lvlJc w:val="left"/>
      <w:pPr>
        <w:ind w:left="709" w:hanging="709"/>
      </w:pPr>
      <w:rPr>
        <w:rFonts w:hint="default"/>
      </w:rPr>
    </w:lvl>
    <w:lvl w:ilvl="1">
      <w:start w:val="1"/>
      <w:numFmt w:val="decimal"/>
      <w:lvlRestart w:val="0"/>
      <w:lvlText w:val="%2."/>
      <w:lvlJc w:val="left"/>
      <w:pPr>
        <w:ind w:left="567" w:hanging="567"/>
      </w:pPr>
      <w:rPr>
        <w:rFonts w:hint="default"/>
      </w:rPr>
    </w:lvl>
    <w:lvl w:ilvl="2">
      <w:start w:val="1"/>
      <w:numFmt w:val="decimal"/>
      <w:lvlRestart w:val="0"/>
      <w:pStyle w:val="ENG-SLONumberedList"/>
      <w:lvlText w:val="%3."/>
      <w:lvlJc w:val="left"/>
      <w:pPr>
        <w:ind w:left="709" w:hanging="709"/>
      </w:pPr>
      <w:rPr>
        <w:rFonts w:hint="default"/>
      </w:rPr>
    </w:lvl>
    <w:lvl w:ilvl="3">
      <w:start w:val="1"/>
      <w:numFmt w:val="decimal"/>
      <w:lvlRestart w:val="0"/>
      <w:pStyle w:val="ENG-AppendixList"/>
      <w:lvlText w:val="%4."/>
      <w:lvlJc w:val="left"/>
      <w:pPr>
        <w:ind w:left="567" w:hanging="567"/>
      </w:pPr>
      <w:rPr>
        <w:rFont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6727039"/>
    <w:multiLevelType w:val="multilevel"/>
    <w:tmpl w:val="335224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9B633D7"/>
    <w:multiLevelType w:val="hybridMultilevel"/>
    <w:tmpl w:val="AF62BC52"/>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15:restartNumberingAfterBreak="0">
    <w:nsid w:val="3B311725"/>
    <w:multiLevelType w:val="hybridMultilevel"/>
    <w:tmpl w:val="1600715E"/>
    <w:lvl w:ilvl="0" w:tplc="261A410E">
      <w:start w:val="2"/>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45FF78CC"/>
    <w:multiLevelType w:val="hybridMultilevel"/>
    <w:tmpl w:val="CF4C54AE"/>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15:restartNumberingAfterBreak="0">
    <w:nsid w:val="47F30B9E"/>
    <w:multiLevelType w:val="multilevel"/>
    <w:tmpl w:val="DD92B1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9DC3648"/>
    <w:multiLevelType w:val="hybridMultilevel"/>
    <w:tmpl w:val="6A5A8A7C"/>
    <w:lvl w:ilvl="0" w:tplc="43B25C3C">
      <w:start w:val="1"/>
      <w:numFmt w:val="bullet"/>
      <w:lvlText w:val=""/>
      <w:lvlJc w:val="left"/>
      <w:pPr>
        <w:ind w:left="1420" w:hanging="360"/>
      </w:pPr>
      <w:rPr>
        <w:rFonts w:ascii="Symbol" w:hAnsi="Symbol"/>
      </w:rPr>
    </w:lvl>
    <w:lvl w:ilvl="1" w:tplc="BD889544">
      <w:start w:val="1"/>
      <w:numFmt w:val="bullet"/>
      <w:lvlText w:val=""/>
      <w:lvlJc w:val="left"/>
      <w:pPr>
        <w:ind w:left="1420" w:hanging="360"/>
      </w:pPr>
      <w:rPr>
        <w:rFonts w:ascii="Symbol" w:hAnsi="Symbol"/>
      </w:rPr>
    </w:lvl>
    <w:lvl w:ilvl="2" w:tplc="CB60DFBA">
      <w:start w:val="1"/>
      <w:numFmt w:val="bullet"/>
      <w:lvlText w:val=""/>
      <w:lvlJc w:val="left"/>
      <w:pPr>
        <w:ind w:left="1420" w:hanging="360"/>
      </w:pPr>
      <w:rPr>
        <w:rFonts w:ascii="Symbol" w:hAnsi="Symbol"/>
      </w:rPr>
    </w:lvl>
    <w:lvl w:ilvl="3" w:tplc="6944BE10">
      <w:start w:val="1"/>
      <w:numFmt w:val="bullet"/>
      <w:lvlText w:val=""/>
      <w:lvlJc w:val="left"/>
      <w:pPr>
        <w:ind w:left="1420" w:hanging="360"/>
      </w:pPr>
      <w:rPr>
        <w:rFonts w:ascii="Symbol" w:hAnsi="Symbol"/>
      </w:rPr>
    </w:lvl>
    <w:lvl w:ilvl="4" w:tplc="1430BBFA">
      <w:start w:val="1"/>
      <w:numFmt w:val="bullet"/>
      <w:lvlText w:val=""/>
      <w:lvlJc w:val="left"/>
      <w:pPr>
        <w:ind w:left="1420" w:hanging="360"/>
      </w:pPr>
      <w:rPr>
        <w:rFonts w:ascii="Symbol" w:hAnsi="Symbol"/>
      </w:rPr>
    </w:lvl>
    <w:lvl w:ilvl="5" w:tplc="FAA06138">
      <w:start w:val="1"/>
      <w:numFmt w:val="bullet"/>
      <w:lvlText w:val=""/>
      <w:lvlJc w:val="left"/>
      <w:pPr>
        <w:ind w:left="1420" w:hanging="360"/>
      </w:pPr>
      <w:rPr>
        <w:rFonts w:ascii="Symbol" w:hAnsi="Symbol"/>
      </w:rPr>
    </w:lvl>
    <w:lvl w:ilvl="6" w:tplc="178E1598">
      <w:start w:val="1"/>
      <w:numFmt w:val="bullet"/>
      <w:lvlText w:val=""/>
      <w:lvlJc w:val="left"/>
      <w:pPr>
        <w:ind w:left="1420" w:hanging="360"/>
      </w:pPr>
      <w:rPr>
        <w:rFonts w:ascii="Symbol" w:hAnsi="Symbol"/>
      </w:rPr>
    </w:lvl>
    <w:lvl w:ilvl="7" w:tplc="AF96B5E4">
      <w:start w:val="1"/>
      <w:numFmt w:val="bullet"/>
      <w:lvlText w:val=""/>
      <w:lvlJc w:val="left"/>
      <w:pPr>
        <w:ind w:left="1420" w:hanging="360"/>
      </w:pPr>
      <w:rPr>
        <w:rFonts w:ascii="Symbol" w:hAnsi="Symbol"/>
      </w:rPr>
    </w:lvl>
    <w:lvl w:ilvl="8" w:tplc="62861C44">
      <w:start w:val="1"/>
      <w:numFmt w:val="bullet"/>
      <w:lvlText w:val=""/>
      <w:lvlJc w:val="left"/>
      <w:pPr>
        <w:ind w:left="1420" w:hanging="360"/>
      </w:pPr>
      <w:rPr>
        <w:rFonts w:ascii="Symbol" w:hAnsi="Symbol"/>
      </w:rPr>
    </w:lvl>
  </w:abstractNum>
  <w:abstractNum w:abstractNumId="26" w15:restartNumberingAfterBreak="0">
    <w:nsid w:val="51B25C44"/>
    <w:multiLevelType w:val="multilevel"/>
    <w:tmpl w:val="1D36FCEC"/>
    <w:styleLink w:val="SLONumberings"/>
    <w:lvl w:ilvl="0">
      <w:start w:val="1"/>
      <w:numFmt w:val="decimal"/>
      <w:lvlRestart w:val="0"/>
      <w:pStyle w:val="1stlevelheading"/>
      <w:lvlText w:val="%1."/>
      <w:lvlJc w:val="left"/>
      <w:pPr>
        <w:tabs>
          <w:tab w:val="num" w:pos="964"/>
        </w:tabs>
        <w:ind w:left="964" w:hanging="964"/>
      </w:pPr>
      <w:rPr>
        <w:rFonts w:hint="default"/>
      </w:rPr>
    </w:lvl>
    <w:lvl w:ilvl="1">
      <w:start w:val="1"/>
      <w:numFmt w:val="decimal"/>
      <w:pStyle w:val="2ndlevelheading"/>
      <w:lvlText w:val="%1.%2."/>
      <w:lvlJc w:val="left"/>
      <w:pPr>
        <w:tabs>
          <w:tab w:val="num" w:pos="964"/>
        </w:tabs>
        <w:ind w:left="964" w:hanging="964"/>
      </w:pPr>
      <w:rPr>
        <w:rFonts w:hint="default"/>
      </w:rPr>
    </w:lvl>
    <w:lvl w:ilvl="2">
      <w:start w:val="1"/>
      <w:numFmt w:val="decimal"/>
      <w:pStyle w:val="3rdlevelheading"/>
      <w:lvlText w:val="%1.%2.%3."/>
      <w:lvlJc w:val="left"/>
      <w:pPr>
        <w:tabs>
          <w:tab w:val="num" w:pos="964"/>
        </w:tabs>
        <w:ind w:left="964" w:hanging="964"/>
      </w:pPr>
      <w:rPr>
        <w:rFonts w:hint="default"/>
      </w:rPr>
    </w:lvl>
    <w:lvl w:ilvl="3">
      <w:start w:val="1"/>
      <w:numFmt w:val="lowerLetter"/>
      <w:pStyle w:val="4thlevelheading"/>
      <w:lvlText w:val="(%4)"/>
      <w:lvlJc w:val="left"/>
      <w:pPr>
        <w:tabs>
          <w:tab w:val="num" w:pos="1928"/>
        </w:tabs>
        <w:ind w:left="1928" w:hanging="851"/>
      </w:pPr>
      <w:rPr>
        <w:rFonts w:hint="default"/>
      </w:rPr>
    </w:lvl>
    <w:lvl w:ilvl="4">
      <w:start w:val="1"/>
      <w:numFmt w:val="lowerRoman"/>
      <w:pStyle w:val="5thlevelheading"/>
      <w:lvlText w:val="(%5)"/>
      <w:lvlJc w:val="left"/>
      <w:pPr>
        <w:tabs>
          <w:tab w:val="num" w:pos="2835"/>
        </w:tabs>
        <w:ind w:left="2835" w:hanging="851"/>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525415AE"/>
    <w:multiLevelType w:val="multilevel"/>
    <w:tmpl w:val="206C4142"/>
    <w:lvl w:ilvl="0">
      <w:start w:val="1"/>
      <w:numFmt w:val="decimal"/>
      <w:lvlRestart w:val="0"/>
      <w:lvlText w:val="%1."/>
      <w:lvlJc w:val="left"/>
      <w:pPr>
        <w:tabs>
          <w:tab w:val="num" w:pos="714"/>
        </w:tabs>
        <w:ind w:left="714" w:hanging="357"/>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546026F2"/>
    <w:multiLevelType w:val="multilevel"/>
    <w:tmpl w:val="83E0AE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6887393"/>
    <w:multiLevelType w:val="hybridMultilevel"/>
    <w:tmpl w:val="3256883E"/>
    <w:lvl w:ilvl="0" w:tplc="472AA724">
      <w:start w:val="1"/>
      <w:numFmt w:val="decimal"/>
      <w:lvlText w:val="%1)"/>
      <w:lvlJc w:val="left"/>
      <w:pPr>
        <w:ind w:left="720" w:hanging="360"/>
      </w:pPr>
    </w:lvl>
    <w:lvl w:ilvl="1" w:tplc="A06AAD02">
      <w:start w:val="1"/>
      <w:numFmt w:val="lowerLetter"/>
      <w:lvlText w:val="%2."/>
      <w:lvlJc w:val="left"/>
      <w:pPr>
        <w:ind w:left="1440" w:hanging="360"/>
      </w:pPr>
    </w:lvl>
    <w:lvl w:ilvl="2" w:tplc="C530630E">
      <w:start w:val="1"/>
      <w:numFmt w:val="lowerRoman"/>
      <w:lvlText w:val="%3."/>
      <w:lvlJc w:val="right"/>
      <w:pPr>
        <w:ind w:left="2160" w:hanging="180"/>
      </w:pPr>
    </w:lvl>
    <w:lvl w:ilvl="3" w:tplc="8500F89C">
      <w:start w:val="1"/>
      <w:numFmt w:val="decimal"/>
      <w:lvlText w:val="%4."/>
      <w:lvlJc w:val="left"/>
      <w:pPr>
        <w:ind w:left="2880" w:hanging="360"/>
      </w:pPr>
    </w:lvl>
    <w:lvl w:ilvl="4" w:tplc="09741D74">
      <w:start w:val="1"/>
      <w:numFmt w:val="lowerLetter"/>
      <w:lvlText w:val="%5."/>
      <w:lvlJc w:val="left"/>
      <w:pPr>
        <w:ind w:left="3600" w:hanging="360"/>
      </w:pPr>
    </w:lvl>
    <w:lvl w:ilvl="5" w:tplc="4122338E">
      <w:start w:val="1"/>
      <w:numFmt w:val="lowerRoman"/>
      <w:lvlText w:val="%6."/>
      <w:lvlJc w:val="right"/>
      <w:pPr>
        <w:ind w:left="4320" w:hanging="180"/>
      </w:pPr>
    </w:lvl>
    <w:lvl w:ilvl="6" w:tplc="594C4E80">
      <w:start w:val="1"/>
      <w:numFmt w:val="decimal"/>
      <w:lvlText w:val="%7."/>
      <w:lvlJc w:val="left"/>
      <w:pPr>
        <w:ind w:left="5040" w:hanging="360"/>
      </w:pPr>
    </w:lvl>
    <w:lvl w:ilvl="7" w:tplc="1E9EEAD0">
      <w:start w:val="1"/>
      <w:numFmt w:val="lowerLetter"/>
      <w:lvlText w:val="%8."/>
      <w:lvlJc w:val="left"/>
      <w:pPr>
        <w:ind w:left="5760" w:hanging="360"/>
      </w:pPr>
    </w:lvl>
    <w:lvl w:ilvl="8" w:tplc="ED78A086">
      <w:start w:val="1"/>
      <w:numFmt w:val="lowerRoman"/>
      <w:lvlText w:val="%9."/>
      <w:lvlJc w:val="right"/>
      <w:pPr>
        <w:ind w:left="6480" w:hanging="180"/>
      </w:pPr>
    </w:lvl>
  </w:abstractNum>
  <w:abstractNum w:abstractNumId="30" w15:restartNumberingAfterBreak="0">
    <w:nsid w:val="58922FD2"/>
    <w:multiLevelType w:val="hybridMultilevel"/>
    <w:tmpl w:val="370AD2F6"/>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1" w15:restartNumberingAfterBreak="0">
    <w:nsid w:val="67933780"/>
    <w:multiLevelType w:val="hybridMultilevel"/>
    <w:tmpl w:val="132CFB32"/>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2" w15:restartNumberingAfterBreak="0">
    <w:nsid w:val="698C7BE0"/>
    <w:multiLevelType w:val="hybridMultilevel"/>
    <w:tmpl w:val="286AF93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6AAC23D8"/>
    <w:multiLevelType w:val="hybridMultilevel"/>
    <w:tmpl w:val="C22E0740"/>
    <w:lvl w:ilvl="0" w:tplc="261A410E">
      <w:start w:val="2"/>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6BB01B69"/>
    <w:multiLevelType w:val="hybridMultilevel"/>
    <w:tmpl w:val="EE4A3CE2"/>
    <w:lvl w:ilvl="0" w:tplc="5F48A83E">
      <w:numFmt w:val="bullet"/>
      <w:lvlText w:val="-"/>
      <w:lvlJc w:val="left"/>
      <w:pPr>
        <w:ind w:left="644" w:hanging="360"/>
      </w:pPr>
      <w:rPr>
        <w:rFonts w:ascii="Times New Roman" w:eastAsia="Times New Roman" w:hAnsi="Times New Roman" w:cs="Times New Roman" w:hint="default"/>
      </w:rPr>
    </w:lvl>
    <w:lvl w:ilvl="1" w:tplc="04250003">
      <w:start w:val="1"/>
      <w:numFmt w:val="bullet"/>
      <w:lvlText w:val="o"/>
      <w:lvlJc w:val="left"/>
      <w:pPr>
        <w:ind w:left="1364" w:hanging="360"/>
      </w:pPr>
      <w:rPr>
        <w:rFonts w:ascii="Courier New" w:hAnsi="Courier New" w:cs="Courier New" w:hint="default"/>
      </w:rPr>
    </w:lvl>
    <w:lvl w:ilvl="2" w:tplc="04250005" w:tentative="1">
      <w:start w:val="1"/>
      <w:numFmt w:val="bullet"/>
      <w:lvlText w:val=""/>
      <w:lvlJc w:val="left"/>
      <w:pPr>
        <w:ind w:left="2084" w:hanging="360"/>
      </w:pPr>
      <w:rPr>
        <w:rFonts w:ascii="Wingdings" w:hAnsi="Wingdings" w:hint="default"/>
      </w:rPr>
    </w:lvl>
    <w:lvl w:ilvl="3" w:tplc="04250001" w:tentative="1">
      <w:start w:val="1"/>
      <w:numFmt w:val="bullet"/>
      <w:lvlText w:val=""/>
      <w:lvlJc w:val="left"/>
      <w:pPr>
        <w:ind w:left="2804" w:hanging="360"/>
      </w:pPr>
      <w:rPr>
        <w:rFonts w:ascii="Symbol" w:hAnsi="Symbol" w:hint="default"/>
      </w:rPr>
    </w:lvl>
    <w:lvl w:ilvl="4" w:tplc="04250003" w:tentative="1">
      <w:start w:val="1"/>
      <w:numFmt w:val="bullet"/>
      <w:lvlText w:val="o"/>
      <w:lvlJc w:val="left"/>
      <w:pPr>
        <w:ind w:left="3524" w:hanging="360"/>
      </w:pPr>
      <w:rPr>
        <w:rFonts w:ascii="Courier New" w:hAnsi="Courier New" w:cs="Courier New" w:hint="default"/>
      </w:rPr>
    </w:lvl>
    <w:lvl w:ilvl="5" w:tplc="04250005" w:tentative="1">
      <w:start w:val="1"/>
      <w:numFmt w:val="bullet"/>
      <w:lvlText w:val=""/>
      <w:lvlJc w:val="left"/>
      <w:pPr>
        <w:ind w:left="4244" w:hanging="360"/>
      </w:pPr>
      <w:rPr>
        <w:rFonts w:ascii="Wingdings" w:hAnsi="Wingdings" w:hint="default"/>
      </w:rPr>
    </w:lvl>
    <w:lvl w:ilvl="6" w:tplc="04250001" w:tentative="1">
      <w:start w:val="1"/>
      <w:numFmt w:val="bullet"/>
      <w:lvlText w:val=""/>
      <w:lvlJc w:val="left"/>
      <w:pPr>
        <w:ind w:left="4964" w:hanging="360"/>
      </w:pPr>
      <w:rPr>
        <w:rFonts w:ascii="Symbol" w:hAnsi="Symbol" w:hint="default"/>
      </w:rPr>
    </w:lvl>
    <w:lvl w:ilvl="7" w:tplc="04250003" w:tentative="1">
      <w:start w:val="1"/>
      <w:numFmt w:val="bullet"/>
      <w:lvlText w:val="o"/>
      <w:lvlJc w:val="left"/>
      <w:pPr>
        <w:ind w:left="5684" w:hanging="360"/>
      </w:pPr>
      <w:rPr>
        <w:rFonts w:ascii="Courier New" w:hAnsi="Courier New" w:cs="Courier New" w:hint="default"/>
      </w:rPr>
    </w:lvl>
    <w:lvl w:ilvl="8" w:tplc="04250005" w:tentative="1">
      <w:start w:val="1"/>
      <w:numFmt w:val="bullet"/>
      <w:lvlText w:val=""/>
      <w:lvlJc w:val="left"/>
      <w:pPr>
        <w:ind w:left="6404" w:hanging="360"/>
      </w:pPr>
      <w:rPr>
        <w:rFonts w:ascii="Wingdings" w:hAnsi="Wingdings" w:hint="default"/>
      </w:rPr>
    </w:lvl>
  </w:abstractNum>
  <w:abstractNum w:abstractNumId="35" w15:restartNumberingAfterBreak="0">
    <w:nsid w:val="6F5B3E5C"/>
    <w:multiLevelType w:val="hybridMultilevel"/>
    <w:tmpl w:val="65945FB2"/>
    <w:lvl w:ilvl="0" w:tplc="7AAA405C">
      <w:start w:val="1"/>
      <w:numFmt w:val="decimal"/>
      <w:lvlText w:val="%1)"/>
      <w:lvlJc w:val="left"/>
      <w:pPr>
        <w:ind w:left="644" w:hanging="360"/>
      </w:pPr>
      <w:rPr>
        <w:rFonts w:hint="default"/>
      </w:rPr>
    </w:lvl>
    <w:lvl w:ilvl="1" w:tplc="04250019" w:tentative="1">
      <w:start w:val="1"/>
      <w:numFmt w:val="lowerLetter"/>
      <w:lvlText w:val="%2."/>
      <w:lvlJc w:val="left"/>
      <w:pPr>
        <w:ind w:left="1364" w:hanging="360"/>
      </w:pPr>
    </w:lvl>
    <w:lvl w:ilvl="2" w:tplc="0425001B" w:tentative="1">
      <w:start w:val="1"/>
      <w:numFmt w:val="lowerRoman"/>
      <w:lvlText w:val="%3."/>
      <w:lvlJc w:val="right"/>
      <w:pPr>
        <w:ind w:left="2084" w:hanging="180"/>
      </w:pPr>
    </w:lvl>
    <w:lvl w:ilvl="3" w:tplc="0425000F" w:tentative="1">
      <w:start w:val="1"/>
      <w:numFmt w:val="decimal"/>
      <w:lvlText w:val="%4."/>
      <w:lvlJc w:val="left"/>
      <w:pPr>
        <w:ind w:left="2804" w:hanging="360"/>
      </w:pPr>
    </w:lvl>
    <w:lvl w:ilvl="4" w:tplc="04250019" w:tentative="1">
      <w:start w:val="1"/>
      <w:numFmt w:val="lowerLetter"/>
      <w:lvlText w:val="%5."/>
      <w:lvlJc w:val="left"/>
      <w:pPr>
        <w:ind w:left="3524" w:hanging="360"/>
      </w:pPr>
    </w:lvl>
    <w:lvl w:ilvl="5" w:tplc="0425001B" w:tentative="1">
      <w:start w:val="1"/>
      <w:numFmt w:val="lowerRoman"/>
      <w:lvlText w:val="%6."/>
      <w:lvlJc w:val="right"/>
      <w:pPr>
        <w:ind w:left="4244" w:hanging="180"/>
      </w:pPr>
    </w:lvl>
    <w:lvl w:ilvl="6" w:tplc="0425000F" w:tentative="1">
      <w:start w:val="1"/>
      <w:numFmt w:val="decimal"/>
      <w:lvlText w:val="%7."/>
      <w:lvlJc w:val="left"/>
      <w:pPr>
        <w:ind w:left="4964" w:hanging="360"/>
      </w:pPr>
    </w:lvl>
    <w:lvl w:ilvl="7" w:tplc="04250019" w:tentative="1">
      <w:start w:val="1"/>
      <w:numFmt w:val="lowerLetter"/>
      <w:lvlText w:val="%8."/>
      <w:lvlJc w:val="left"/>
      <w:pPr>
        <w:ind w:left="5684" w:hanging="360"/>
      </w:pPr>
    </w:lvl>
    <w:lvl w:ilvl="8" w:tplc="0425001B" w:tentative="1">
      <w:start w:val="1"/>
      <w:numFmt w:val="lowerRoman"/>
      <w:lvlText w:val="%9."/>
      <w:lvlJc w:val="right"/>
      <w:pPr>
        <w:ind w:left="6404" w:hanging="180"/>
      </w:pPr>
    </w:lvl>
  </w:abstractNum>
  <w:abstractNum w:abstractNumId="36" w15:restartNumberingAfterBreak="0">
    <w:nsid w:val="71256297"/>
    <w:multiLevelType w:val="hybridMultilevel"/>
    <w:tmpl w:val="02E8BA64"/>
    <w:lvl w:ilvl="0" w:tplc="04250001">
      <w:start w:val="1"/>
      <w:numFmt w:val="bullet"/>
      <w:lvlText w:val=""/>
      <w:lvlJc w:val="left"/>
      <w:pPr>
        <w:ind w:left="780" w:hanging="360"/>
      </w:pPr>
      <w:rPr>
        <w:rFonts w:ascii="Symbol" w:hAnsi="Symbol" w:hint="default"/>
      </w:rPr>
    </w:lvl>
    <w:lvl w:ilvl="1" w:tplc="04250003" w:tentative="1">
      <w:start w:val="1"/>
      <w:numFmt w:val="bullet"/>
      <w:lvlText w:val="o"/>
      <w:lvlJc w:val="left"/>
      <w:pPr>
        <w:ind w:left="1500" w:hanging="360"/>
      </w:pPr>
      <w:rPr>
        <w:rFonts w:ascii="Courier New" w:hAnsi="Courier New" w:cs="Courier New" w:hint="default"/>
      </w:rPr>
    </w:lvl>
    <w:lvl w:ilvl="2" w:tplc="04250005" w:tentative="1">
      <w:start w:val="1"/>
      <w:numFmt w:val="bullet"/>
      <w:lvlText w:val=""/>
      <w:lvlJc w:val="left"/>
      <w:pPr>
        <w:ind w:left="2220" w:hanging="360"/>
      </w:pPr>
      <w:rPr>
        <w:rFonts w:ascii="Wingdings" w:hAnsi="Wingdings" w:hint="default"/>
      </w:rPr>
    </w:lvl>
    <w:lvl w:ilvl="3" w:tplc="04250001" w:tentative="1">
      <w:start w:val="1"/>
      <w:numFmt w:val="bullet"/>
      <w:lvlText w:val=""/>
      <w:lvlJc w:val="left"/>
      <w:pPr>
        <w:ind w:left="2940" w:hanging="360"/>
      </w:pPr>
      <w:rPr>
        <w:rFonts w:ascii="Symbol" w:hAnsi="Symbol" w:hint="default"/>
      </w:rPr>
    </w:lvl>
    <w:lvl w:ilvl="4" w:tplc="04250003" w:tentative="1">
      <w:start w:val="1"/>
      <w:numFmt w:val="bullet"/>
      <w:lvlText w:val="o"/>
      <w:lvlJc w:val="left"/>
      <w:pPr>
        <w:ind w:left="3660" w:hanging="360"/>
      </w:pPr>
      <w:rPr>
        <w:rFonts w:ascii="Courier New" w:hAnsi="Courier New" w:cs="Courier New" w:hint="default"/>
      </w:rPr>
    </w:lvl>
    <w:lvl w:ilvl="5" w:tplc="04250005" w:tentative="1">
      <w:start w:val="1"/>
      <w:numFmt w:val="bullet"/>
      <w:lvlText w:val=""/>
      <w:lvlJc w:val="left"/>
      <w:pPr>
        <w:ind w:left="4380" w:hanging="360"/>
      </w:pPr>
      <w:rPr>
        <w:rFonts w:ascii="Wingdings" w:hAnsi="Wingdings" w:hint="default"/>
      </w:rPr>
    </w:lvl>
    <w:lvl w:ilvl="6" w:tplc="04250001" w:tentative="1">
      <w:start w:val="1"/>
      <w:numFmt w:val="bullet"/>
      <w:lvlText w:val=""/>
      <w:lvlJc w:val="left"/>
      <w:pPr>
        <w:ind w:left="5100" w:hanging="360"/>
      </w:pPr>
      <w:rPr>
        <w:rFonts w:ascii="Symbol" w:hAnsi="Symbol" w:hint="default"/>
      </w:rPr>
    </w:lvl>
    <w:lvl w:ilvl="7" w:tplc="04250003" w:tentative="1">
      <w:start w:val="1"/>
      <w:numFmt w:val="bullet"/>
      <w:lvlText w:val="o"/>
      <w:lvlJc w:val="left"/>
      <w:pPr>
        <w:ind w:left="5820" w:hanging="360"/>
      </w:pPr>
      <w:rPr>
        <w:rFonts w:ascii="Courier New" w:hAnsi="Courier New" w:cs="Courier New" w:hint="default"/>
      </w:rPr>
    </w:lvl>
    <w:lvl w:ilvl="8" w:tplc="04250005" w:tentative="1">
      <w:start w:val="1"/>
      <w:numFmt w:val="bullet"/>
      <w:lvlText w:val=""/>
      <w:lvlJc w:val="left"/>
      <w:pPr>
        <w:ind w:left="6540" w:hanging="360"/>
      </w:pPr>
      <w:rPr>
        <w:rFonts w:ascii="Wingdings" w:hAnsi="Wingdings" w:hint="default"/>
      </w:rPr>
    </w:lvl>
  </w:abstractNum>
  <w:abstractNum w:abstractNumId="37" w15:restartNumberingAfterBreak="0">
    <w:nsid w:val="72E17D4A"/>
    <w:multiLevelType w:val="hybridMultilevel"/>
    <w:tmpl w:val="ADDC7C54"/>
    <w:lvl w:ilvl="0" w:tplc="31C6FE9E">
      <w:start w:val="1"/>
      <w:numFmt w:val="bullet"/>
      <w:lvlText w:val=""/>
      <w:lvlJc w:val="left"/>
      <w:pPr>
        <w:ind w:left="2140" w:hanging="360"/>
      </w:pPr>
      <w:rPr>
        <w:rFonts w:ascii="Symbol" w:hAnsi="Symbol"/>
      </w:rPr>
    </w:lvl>
    <w:lvl w:ilvl="1" w:tplc="A73AE446">
      <w:start w:val="1"/>
      <w:numFmt w:val="bullet"/>
      <w:lvlText w:val=""/>
      <w:lvlJc w:val="left"/>
      <w:pPr>
        <w:ind w:left="2140" w:hanging="360"/>
      </w:pPr>
      <w:rPr>
        <w:rFonts w:ascii="Symbol" w:hAnsi="Symbol"/>
      </w:rPr>
    </w:lvl>
    <w:lvl w:ilvl="2" w:tplc="D0525BE2">
      <w:start w:val="1"/>
      <w:numFmt w:val="bullet"/>
      <w:lvlText w:val=""/>
      <w:lvlJc w:val="left"/>
      <w:pPr>
        <w:ind w:left="2140" w:hanging="360"/>
      </w:pPr>
      <w:rPr>
        <w:rFonts w:ascii="Symbol" w:hAnsi="Symbol"/>
      </w:rPr>
    </w:lvl>
    <w:lvl w:ilvl="3" w:tplc="6A969288">
      <w:start w:val="1"/>
      <w:numFmt w:val="bullet"/>
      <w:lvlText w:val=""/>
      <w:lvlJc w:val="left"/>
      <w:pPr>
        <w:ind w:left="2140" w:hanging="360"/>
      </w:pPr>
      <w:rPr>
        <w:rFonts w:ascii="Symbol" w:hAnsi="Symbol"/>
      </w:rPr>
    </w:lvl>
    <w:lvl w:ilvl="4" w:tplc="D42C1EDA">
      <w:start w:val="1"/>
      <w:numFmt w:val="bullet"/>
      <w:lvlText w:val=""/>
      <w:lvlJc w:val="left"/>
      <w:pPr>
        <w:ind w:left="2140" w:hanging="360"/>
      </w:pPr>
      <w:rPr>
        <w:rFonts w:ascii="Symbol" w:hAnsi="Symbol"/>
      </w:rPr>
    </w:lvl>
    <w:lvl w:ilvl="5" w:tplc="D534BBBE">
      <w:start w:val="1"/>
      <w:numFmt w:val="bullet"/>
      <w:lvlText w:val=""/>
      <w:lvlJc w:val="left"/>
      <w:pPr>
        <w:ind w:left="2140" w:hanging="360"/>
      </w:pPr>
      <w:rPr>
        <w:rFonts w:ascii="Symbol" w:hAnsi="Symbol"/>
      </w:rPr>
    </w:lvl>
    <w:lvl w:ilvl="6" w:tplc="0D26AAF6">
      <w:start w:val="1"/>
      <w:numFmt w:val="bullet"/>
      <w:lvlText w:val=""/>
      <w:lvlJc w:val="left"/>
      <w:pPr>
        <w:ind w:left="2140" w:hanging="360"/>
      </w:pPr>
      <w:rPr>
        <w:rFonts w:ascii="Symbol" w:hAnsi="Symbol"/>
      </w:rPr>
    </w:lvl>
    <w:lvl w:ilvl="7" w:tplc="2D183DBC">
      <w:start w:val="1"/>
      <w:numFmt w:val="bullet"/>
      <w:lvlText w:val=""/>
      <w:lvlJc w:val="left"/>
      <w:pPr>
        <w:ind w:left="2140" w:hanging="360"/>
      </w:pPr>
      <w:rPr>
        <w:rFonts w:ascii="Symbol" w:hAnsi="Symbol"/>
      </w:rPr>
    </w:lvl>
    <w:lvl w:ilvl="8" w:tplc="D6AE6764">
      <w:start w:val="1"/>
      <w:numFmt w:val="bullet"/>
      <w:lvlText w:val=""/>
      <w:lvlJc w:val="left"/>
      <w:pPr>
        <w:ind w:left="2140" w:hanging="360"/>
      </w:pPr>
      <w:rPr>
        <w:rFonts w:ascii="Symbol" w:hAnsi="Symbol"/>
      </w:rPr>
    </w:lvl>
  </w:abstractNum>
  <w:abstractNum w:abstractNumId="38" w15:restartNumberingAfterBreak="0">
    <w:nsid w:val="73833A92"/>
    <w:multiLevelType w:val="multilevel"/>
    <w:tmpl w:val="6A722F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67D6D33"/>
    <w:multiLevelType w:val="hybridMultilevel"/>
    <w:tmpl w:val="42BC9CCA"/>
    <w:lvl w:ilvl="0" w:tplc="46E062CA">
      <w:start w:val="1"/>
      <w:numFmt w:val="bullet"/>
      <w:lvlText w:val=""/>
      <w:lvlJc w:val="left"/>
      <w:pPr>
        <w:ind w:left="1440" w:hanging="360"/>
      </w:pPr>
      <w:rPr>
        <w:rFonts w:ascii="Symbol" w:hAnsi="Symbol"/>
      </w:rPr>
    </w:lvl>
    <w:lvl w:ilvl="1" w:tplc="8340A904">
      <w:start w:val="1"/>
      <w:numFmt w:val="bullet"/>
      <w:lvlText w:val=""/>
      <w:lvlJc w:val="left"/>
      <w:pPr>
        <w:ind w:left="2160" w:hanging="360"/>
      </w:pPr>
      <w:rPr>
        <w:rFonts w:ascii="Symbol" w:hAnsi="Symbol"/>
      </w:rPr>
    </w:lvl>
    <w:lvl w:ilvl="2" w:tplc="6DB2E51A">
      <w:start w:val="1"/>
      <w:numFmt w:val="bullet"/>
      <w:lvlText w:val=""/>
      <w:lvlJc w:val="left"/>
      <w:pPr>
        <w:ind w:left="1440" w:hanging="360"/>
      </w:pPr>
      <w:rPr>
        <w:rFonts w:ascii="Symbol" w:hAnsi="Symbol"/>
      </w:rPr>
    </w:lvl>
    <w:lvl w:ilvl="3" w:tplc="A33A701C">
      <w:start w:val="1"/>
      <w:numFmt w:val="bullet"/>
      <w:lvlText w:val=""/>
      <w:lvlJc w:val="left"/>
      <w:pPr>
        <w:ind w:left="1440" w:hanging="360"/>
      </w:pPr>
      <w:rPr>
        <w:rFonts w:ascii="Symbol" w:hAnsi="Symbol"/>
      </w:rPr>
    </w:lvl>
    <w:lvl w:ilvl="4" w:tplc="3CE0E410">
      <w:start w:val="1"/>
      <w:numFmt w:val="bullet"/>
      <w:lvlText w:val=""/>
      <w:lvlJc w:val="left"/>
      <w:pPr>
        <w:ind w:left="1440" w:hanging="360"/>
      </w:pPr>
      <w:rPr>
        <w:rFonts w:ascii="Symbol" w:hAnsi="Symbol"/>
      </w:rPr>
    </w:lvl>
    <w:lvl w:ilvl="5" w:tplc="ED7C4F44">
      <w:start w:val="1"/>
      <w:numFmt w:val="bullet"/>
      <w:lvlText w:val=""/>
      <w:lvlJc w:val="left"/>
      <w:pPr>
        <w:ind w:left="1440" w:hanging="360"/>
      </w:pPr>
      <w:rPr>
        <w:rFonts w:ascii="Symbol" w:hAnsi="Symbol"/>
      </w:rPr>
    </w:lvl>
    <w:lvl w:ilvl="6" w:tplc="7272DBAA">
      <w:start w:val="1"/>
      <w:numFmt w:val="bullet"/>
      <w:lvlText w:val=""/>
      <w:lvlJc w:val="left"/>
      <w:pPr>
        <w:ind w:left="1440" w:hanging="360"/>
      </w:pPr>
      <w:rPr>
        <w:rFonts w:ascii="Symbol" w:hAnsi="Symbol"/>
      </w:rPr>
    </w:lvl>
    <w:lvl w:ilvl="7" w:tplc="9426E80C">
      <w:start w:val="1"/>
      <w:numFmt w:val="bullet"/>
      <w:lvlText w:val=""/>
      <w:lvlJc w:val="left"/>
      <w:pPr>
        <w:ind w:left="1440" w:hanging="360"/>
      </w:pPr>
      <w:rPr>
        <w:rFonts w:ascii="Symbol" w:hAnsi="Symbol"/>
      </w:rPr>
    </w:lvl>
    <w:lvl w:ilvl="8" w:tplc="D6064E38">
      <w:start w:val="1"/>
      <w:numFmt w:val="bullet"/>
      <w:lvlText w:val=""/>
      <w:lvlJc w:val="left"/>
      <w:pPr>
        <w:ind w:left="1440" w:hanging="360"/>
      </w:pPr>
      <w:rPr>
        <w:rFonts w:ascii="Symbol" w:hAnsi="Symbol"/>
      </w:rPr>
    </w:lvl>
  </w:abstractNum>
  <w:num w:numId="1" w16cid:durableId="1714500830">
    <w:abstractNumId w:val="29"/>
  </w:num>
  <w:num w:numId="2" w16cid:durableId="1519735773">
    <w:abstractNumId w:val="26"/>
  </w:num>
  <w:num w:numId="3" w16cid:durableId="473570978">
    <w:abstractNumId w:val="8"/>
  </w:num>
  <w:num w:numId="4" w16cid:durableId="1798329405">
    <w:abstractNumId w:val="12"/>
  </w:num>
  <w:num w:numId="5" w16cid:durableId="18629119">
    <w:abstractNumId w:val="27"/>
  </w:num>
  <w:num w:numId="6" w16cid:durableId="302543960">
    <w:abstractNumId w:val="10"/>
  </w:num>
  <w:num w:numId="7" w16cid:durableId="889390353">
    <w:abstractNumId w:val="0"/>
  </w:num>
  <w:num w:numId="8" w16cid:durableId="1166549952">
    <w:abstractNumId w:val="2"/>
  </w:num>
  <w:num w:numId="9" w16cid:durableId="1067266186">
    <w:abstractNumId w:val="17"/>
  </w:num>
  <w:num w:numId="10" w16cid:durableId="1250655262">
    <w:abstractNumId w:val="17"/>
  </w:num>
  <w:num w:numId="11" w16cid:durableId="1440644232">
    <w:abstractNumId w:val="17"/>
  </w:num>
  <w:num w:numId="12" w16cid:durableId="1275747613">
    <w:abstractNumId w:val="17"/>
  </w:num>
  <w:num w:numId="13" w16cid:durableId="2023165997">
    <w:abstractNumId w:val="17"/>
  </w:num>
  <w:num w:numId="14" w16cid:durableId="1024136229">
    <w:abstractNumId w:val="17"/>
  </w:num>
  <w:num w:numId="15" w16cid:durableId="243033455">
    <w:abstractNumId w:val="19"/>
  </w:num>
  <w:num w:numId="16" w16cid:durableId="1821078034">
    <w:abstractNumId w:val="17"/>
  </w:num>
  <w:num w:numId="17" w16cid:durableId="2015186280">
    <w:abstractNumId w:val="19"/>
  </w:num>
  <w:num w:numId="18" w16cid:durableId="1100878769">
    <w:abstractNumId w:val="11"/>
  </w:num>
  <w:num w:numId="19" w16cid:durableId="741295161">
    <w:abstractNumId w:val="18"/>
  </w:num>
  <w:num w:numId="20" w16cid:durableId="1175388666">
    <w:abstractNumId w:val="5"/>
  </w:num>
  <w:num w:numId="21" w16cid:durableId="1589116992">
    <w:abstractNumId w:val="35"/>
  </w:num>
  <w:num w:numId="22" w16cid:durableId="1124884407">
    <w:abstractNumId w:val="34"/>
  </w:num>
  <w:num w:numId="23" w16cid:durableId="1304241177">
    <w:abstractNumId w:val="16"/>
  </w:num>
  <w:num w:numId="24" w16cid:durableId="934283066">
    <w:abstractNumId w:val="7"/>
  </w:num>
  <w:num w:numId="25" w16cid:durableId="1769042760">
    <w:abstractNumId w:val="25"/>
  </w:num>
  <w:num w:numId="26" w16cid:durableId="938761510">
    <w:abstractNumId w:val="13"/>
  </w:num>
  <w:num w:numId="27" w16cid:durableId="2051345301">
    <w:abstractNumId w:val="37"/>
  </w:num>
  <w:num w:numId="28" w16cid:durableId="641354481">
    <w:abstractNumId w:val="39"/>
  </w:num>
  <w:num w:numId="29" w16cid:durableId="1762213043">
    <w:abstractNumId w:val="38"/>
  </w:num>
  <w:num w:numId="30" w16cid:durableId="1360544241">
    <w:abstractNumId w:val="28"/>
  </w:num>
  <w:num w:numId="31" w16cid:durableId="2099206935">
    <w:abstractNumId w:val="20"/>
  </w:num>
  <w:num w:numId="32" w16cid:durableId="1384017093">
    <w:abstractNumId w:val="24"/>
  </w:num>
  <w:num w:numId="33" w16cid:durableId="633683748">
    <w:abstractNumId w:val="6"/>
  </w:num>
  <w:num w:numId="34" w16cid:durableId="587232908">
    <w:abstractNumId w:val="15"/>
  </w:num>
  <w:num w:numId="35" w16cid:durableId="1642423083">
    <w:abstractNumId w:val="4"/>
  </w:num>
  <w:num w:numId="36" w16cid:durableId="1444113118">
    <w:abstractNumId w:val="22"/>
  </w:num>
  <w:num w:numId="37" w16cid:durableId="700979030">
    <w:abstractNumId w:val="33"/>
  </w:num>
  <w:num w:numId="38" w16cid:durableId="691417493">
    <w:abstractNumId w:val="32"/>
  </w:num>
  <w:num w:numId="39" w16cid:durableId="713232304">
    <w:abstractNumId w:val="9"/>
  </w:num>
  <w:num w:numId="40" w16cid:durableId="483815658">
    <w:abstractNumId w:val="14"/>
  </w:num>
  <w:num w:numId="41" w16cid:durableId="190069881">
    <w:abstractNumId w:val="30"/>
  </w:num>
  <w:num w:numId="42" w16cid:durableId="1446998834">
    <w:abstractNumId w:val="31"/>
  </w:num>
  <w:num w:numId="43" w16cid:durableId="577903659">
    <w:abstractNumId w:val="21"/>
  </w:num>
  <w:num w:numId="44" w16cid:durableId="789663209">
    <w:abstractNumId w:val="3"/>
  </w:num>
  <w:num w:numId="45" w16cid:durableId="1781493186">
    <w:abstractNumId w:val="36"/>
  </w:num>
  <w:num w:numId="46" w16cid:durableId="2095201369">
    <w:abstractNumId w:val="23"/>
  </w:num>
  <w:num w:numId="47" w16cid:durableId="9598431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DRAFTER_VERSION" w:val="3.40"/>
    <w:docVar w:name="DOCDRAFTERREINDEX" w:val="NO"/>
    <w:docVar w:name="DOCDRAFTERTASKPANE" w:val="782ebd0a-61f2-47fe-a78d-548304ca8dbb"/>
    <w:docVar w:name="VERSIONDETAIL" w:val="0"/>
  </w:docVars>
  <w:rsids>
    <w:rsidRoot w:val="00604594"/>
    <w:rsid w:val="000001ED"/>
    <w:rsid w:val="0000123E"/>
    <w:rsid w:val="00001410"/>
    <w:rsid w:val="0000201B"/>
    <w:rsid w:val="000025CF"/>
    <w:rsid w:val="000028F8"/>
    <w:rsid w:val="00002B0D"/>
    <w:rsid w:val="00002B55"/>
    <w:rsid w:val="0000311C"/>
    <w:rsid w:val="00003195"/>
    <w:rsid w:val="00003338"/>
    <w:rsid w:val="00003659"/>
    <w:rsid w:val="000038D0"/>
    <w:rsid w:val="0000409A"/>
    <w:rsid w:val="000042C3"/>
    <w:rsid w:val="00005289"/>
    <w:rsid w:val="00005354"/>
    <w:rsid w:val="0000564A"/>
    <w:rsid w:val="000058AE"/>
    <w:rsid w:val="00006160"/>
    <w:rsid w:val="00006CC8"/>
    <w:rsid w:val="00006D3C"/>
    <w:rsid w:val="00007040"/>
    <w:rsid w:val="00007B3A"/>
    <w:rsid w:val="00010026"/>
    <w:rsid w:val="00010832"/>
    <w:rsid w:val="00010EB4"/>
    <w:rsid w:val="00011902"/>
    <w:rsid w:val="00011FBD"/>
    <w:rsid w:val="00012545"/>
    <w:rsid w:val="00012A14"/>
    <w:rsid w:val="000131D9"/>
    <w:rsid w:val="00013201"/>
    <w:rsid w:val="00013230"/>
    <w:rsid w:val="00013AE4"/>
    <w:rsid w:val="00014323"/>
    <w:rsid w:val="00014957"/>
    <w:rsid w:val="0001529C"/>
    <w:rsid w:val="000155A3"/>
    <w:rsid w:val="00015FED"/>
    <w:rsid w:val="000160D2"/>
    <w:rsid w:val="000163EE"/>
    <w:rsid w:val="00016A27"/>
    <w:rsid w:val="00016AD9"/>
    <w:rsid w:val="00016DD3"/>
    <w:rsid w:val="00016DE9"/>
    <w:rsid w:val="0001798C"/>
    <w:rsid w:val="000203C0"/>
    <w:rsid w:val="000216D3"/>
    <w:rsid w:val="00021A3E"/>
    <w:rsid w:val="00022048"/>
    <w:rsid w:val="00022133"/>
    <w:rsid w:val="000221C1"/>
    <w:rsid w:val="000222B0"/>
    <w:rsid w:val="000232E9"/>
    <w:rsid w:val="00023380"/>
    <w:rsid w:val="0002370B"/>
    <w:rsid w:val="00024041"/>
    <w:rsid w:val="000240A9"/>
    <w:rsid w:val="000240E4"/>
    <w:rsid w:val="00024DDE"/>
    <w:rsid w:val="000250A6"/>
    <w:rsid w:val="00025A34"/>
    <w:rsid w:val="00025ECC"/>
    <w:rsid w:val="00025F1D"/>
    <w:rsid w:val="00026102"/>
    <w:rsid w:val="000261A2"/>
    <w:rsid w:val="000269C0"/>
    <w:rsid w:val="00026DE9"/>
    <w:rsid w:val="00026F5B"/>
    <w:rsid w:val="000271D4"/>
    <w:rsid w:val="000272FB"/>
    <w:rsid w:val="0002751B"/>
    <w:rsid w:val="00027A71"/>
    <w:rsid w:val="00027AC6"/>
    <w:rsid w:val="0003052E"/>
    <w:rsid w:val="000311DC"/>
    <w:rsid w:val="00031358"/>
    <w:rsid w:val="00031A5A"/>
    <w:rsid w:val="000332F6"/>
    <w:rsid w:val="0003330A"/>
    <w:rsid w:val="0003340A"/>
    <w:rsid w:val="00034316"/>
    <w:rsid w:val="0003457C"/>
    <w:rsid w:val="000347CD"/>
    <w:rsid w:val="00034914"/>
    <w:rsid w:val="00035296"/>
    <w:rsid w:val="00035A93"/>
    <w:rsid w:val="00035D91"/>
    <w:rsid w:val="00035FBB"/>
    <w:rsid w:val="000369B6"/>
    <w:rsid w:val="00036D4B"/>
    <w:rsid w:val="00036D4C"/>
    <w:rsid w:val="0003701A"/>
    <w:rsid w:val="00037507"/>
    <w:rsid w:val="000378F8"/>
    <w:rsid w:val="000379D3"/>
    <w:rsid w:val="00037A5F"/>
    <w:rsid w:val="0004028B"/>
    <w:rsid w:val="00040368"/>
    <w:rsid w:val="00040466"/>
    <w:rsid w:val="000407AD"/>
    <w:rsid w:val="00040868"/>
    <w:rsid w:val="00040F98"/>
    <w:rsid w:val="00042270"/>
    <w:rsid w:val="00042456"/>
    <w:rsid w:val="00042618"/>
    <w:rsid w:val="00042718"/>
    <w:rsid w:val="00042739"/>
    <w:rsid w:val="00042887"/>
    <w:rsid w:val="0004290B"/>
    <w:rsid w:val="00042CA7"/>
    <w:rsid w:val="00042D4D"/>
    <w:rsid w:val="00042E57"/>
    <w:rsid w:val="000432F7"/>
    <w:rsid w:val="00043D7A"/>
    <w:rsid w:val="00044016"/>
    <w:rsid w:val="000441B1"/>
    <w:rsid w:val="0004526F"/>
    <w:rsid w:val="000456C7"/>
    <w:rsid w:val="00045B79"/>
    <w:rsid w:val="0004603F"/>
    <w:rsid w:val="00046163"/>
    <w:rsid w:val="00046FD4"/>
    <w:rsid w:val="000476A9"/>
    <w:rsid w:val="00047918"/>
    <w:rsid w:val="00047D1A"/>
    <w:rsid w:val="00050108"/>
    <w:rsid w:val="000508F8"/>
    <w:rsid w:val="000509BC"/>
    <w:rsid w:val="00051AEA"/>
    <w:rsid w:val="00052925"/>
    <w:rsid w:val="00053142"/>
    <w:rsid w:val="00053246"/>
    <w:rsid w:val="00053540"/>
    <w:rsid w:val="00053655"/>
    <w:rsid w:val="000541DA"/>
    <w:rsid w:val="000547B4"/>
    <w:rsid w:val="000548E2"/>
    <w:rsid w:val="00055359"/>
    <w:rsid w:val="0005557B"/>
    <w:rsid w:val="00055E57"/>
    <w:rsid w:val="000562E9"/>
    <w:rsid w:val="000562FF"/>
    <w:rsid w:val="0005648B"/>
    <w:rsid w:val="00056768"/>
    <w:rsid w:val="00056E7D"/>
    <w:rsid w:val="00057035"/>
    <w:rsid w:val="00057C6E"/>
    <w:rsid w:val="00057E0A"/>
    <w:rsid w:val="000601BA"/>
    <w:rsid w:val="000607C9"/>
    <w:rsid w:val="00061723"/>
    <w:rsid w:val="00061B8E"/>
    <w:rsid w:val="00062853"/>
    <w:rsid w:val="00062A09"/>
    <w:rsid w:val="00063141"/>
    <w:rsid w:val="0006376B"/>
    <w:rsid w:val="000639C2"/>
    <w:rsid w:val="000642D8"/>
    <w:rsid w:val="00064472"/>
    <w:rsid w:val="00065082"/>
    <w:rsid w:val="000655AF"/>
    <w:rsid w:val="00065F00"/>
    <w:rsid w:val="00066572"/>
    <w:rsid w:val="000665A2"/>
    <w:rsid w:val="00066D15"/>
    <w:rsid w:val="000672F4"/>
    <w:rsid w:val="00067A18"/>
    <w:rsid w:val="00070059"/>
    <w:rsid w:val="000703C5"/>
    <w:rsid w:val="00070EC4"/>
    <w:rsid w:val="000710D6"/>
    <w:rsid w:val="00071D6A"/>
    <w:rsid w:val="00072291"/>
    <w:rsid w:val="000737EE"/>
    <w:rsid w:val="00073E63"/>
    <w:rsid w:val="00073F70"/>
    <w:rsid w:val="00074411"/>
    <w:rsid w:val="00075077"/>
    <w:rsid w:val="00075202"/>
    <w:rsid w:val="00075DE7"/>
    <w:rsid w:val="0007665C"/>
    <w:rsid w:val="00076FC8"/>
    <w:rsid w:val="00080102"/>
    <w:rsid w:val="000802C6"/>
    <w:rsid w:val="0008096B"/>
    <w:rsid w:val="00080F73"/>
    <w:rsid w:val="00081883"/>
    <w:rsid w:val="00081CF9"/>
    <w:rsid w:val="00081F99"/>
    <w:rsid w:val="00082B63"/>
    <w:rsid w:val="00083277"/>
    <w:rsid w:val="000835BA"/>
    <w:rsid w:val="00083743"/>
    <w:rsid w:val="00083779"/>
    <w:rsid w:val="0008446B"/>
    <w:rsid w:val="00084719"/>
    <w:rsid w:val="0008490F"/>
    <w:rsid w:val="00084AF4"/>
    <w:rsid w:val="0008500F"/>
    <w:rsid w:val="0008587D"/>
    <w:rsid w:val="00085F6D"/>
    <w:rsid w:val="000862B5"/>
    <w:rsid w:val="0008639A"/>
    <w:rsid w:val="00086436"/>
    <w:rsid w:val="00086B78"/>
    <w:rsid w:val="00086D7C"/>
    <w:rsid w:val="00086E94"/>
    <w:rsid w:val="00087522"/>
    <w:rsid w:val="00087A2E"/>
    <w:rsid w:val="00087B7F"/>
    <w:rsid w:val="00087D04"/>
    <w:rsid w:val="00087D38"/>
    <w:rsid w:val="00090429"/>
    <w:rsid w:val="00090E61"/>
    <w:rsid w:val="00091A46"/>
    <w:rsid w:val="000924F3"/>
    <w:rsid w:val="000924F5"/>
    <w:rsid w:val="00092D2F"/>
    <w:rsid w:val="00093A70"/>
    <w:rsid w:val="00094247"/>
    <w:rsid w:val="00094578"/>
    <w:rsid w:val="000949EB"/>
    <w:rsid w:val="00094A6D"/>
    <w:rsid w:val="000953AE"/>
    <w:rsid w:val="000953BE"/>
    <w:rsid w:val="0009588A"/>
    <w:rsid w:val="00095A85"/>
    <w:rsid w:val="0009700C"/>
    <w:rsid w:val="0009729C"/>
    <w:rsid w:val="00097795"/>
    <w:rsid w:val="00097955"/>
    <w:rsid w:val="00097A75"/>
    <w:rsid w:val="00097AB0"/>
    <w:rsid w:val="00097BC4"/>
    <w:rsid w:val="000A03EF"/>
    <w:rsid w:val="000A087B"/>
    <w:rsid w:val="000A0906"/>
    <w:rsid w:val="000A0C2E"/>
    <w:rsid w:val="000A0F58"/>
    <w:rsid w:val="000A1467"/>
    <w:rsid w:val="000A16FE"/>
    <w:rsid w:val="000A186F"/>
    <w:rsid w:val="000A1BC9"/>
    <w:rsid w:val="000A2223"/>
    <w:rsid w:val="000A277C"/>
    <w:rsid w:val="000A308E"/>
    <w:rsid w:val="000A396A"/>
    <w:rsid w:val="000A3C03"/>
    <w:rsid w:val="000A4028"/>
    <w:rsid w:val="000A451D"/>
    <w:rsid w:val="000A4B3F"/>
    <w:rsid w:val="000A4B61"/>
    <w:rsid w:val="000A4CCF"/>
    <w:rsid w:val="000A50F5"/>
    <w:rsid w:val="000A54C4"/>
    <w:rsid w:val="000A5B69"/>
    <w:rsid w:val="000A5B6C"/>
    <w:rsid w:val="000A6168"/>
    <w:rsid w:val="000A6CEB"/>
    <w:rsid w:val="000A6EF5"/>
    <w:rsid w:val="000A7596"/>
    <w:rsid w:val="000A7A38"/>
    <w:rsid w:val="000B09CC"/>
    <w:rsid w:val="000B10BA"/>
    <w:rsid w:val="000B158D"/>
    <w:rsid w:val="000B1994"/>
    <w:rsid w:val="000B20AF"/>
    <w:rsid w:val="000B259D"/>
    <w:rsid w:val="000B3843"/>
    <w:rsid w:val="000B38C3"/>
    <w:rsid w:val="000B3EB7"/>
    <w:rsid w:val="000B4200"/>
    <w:rsid w:val="000B45EB"/>
    <w:rsid w:val="000B4CE1"/>
    <w:rsid w:val="000B4FF1"/>
    <w:rsid w:val="000B5824"/>
    <w:rsid w:val="000B5B9D"/>
    <w:rsid w:val="000B6122"/>
    <w:rsid w:val="000B6267"/>
    <w:rsid w:val="000B63D0"/>
    <w:rsid w:val="000B6757"/>
    <w:rsid w:val="000B6959"/>
    <w:rsid w:val="000B6FAE"/>
    <w:rsid w:val="000B7C40"/>
    <w:rsid w:val="000C077D"/>
    <w:rsid w:val="000C0AD7"/>
    <w:rsid w:val="000C1103"/>
    <w:rsid w:val="000C157A"/>
    <w:rsid w:val="000C20ED"/>
    <w:rsid w:val="000C2125"/>
    <w:rsid w:val="000C2153"/>
    <w:rsid w:val="000C26A9"/>
    <w:rsid w:val="000C3411"/>
    <w:rsid w:val="000C3ACB"/>
    <w:rsid w:val="000C401D"/>
    <w:rsid w:val="000C49C3"/>
    <w:rsid w:val="000C5D81"/>
    <w:rsid w:val="000C6194"/>
    <w:rsid w:val="000C6420"/>
    <w:rsid w:val="000C682F"/>
    <w:rsid w:val="000C68BF"/>
    <w:rsid w:val="000C69EB"/>
    <w:rsid w:val="000C6FDC"/>
    <w:rsid w:val="000C72AE"/>
    <w:rsid w:val="000CB038"/>
    <w:rsid w:val="000D0E90"/>
    <w:rsid w:val="000D1D8D"/>
    <w:rsid w:val="000D206C"/>
    <w:rsid w:val="000D237B"/>
    <w:rsid w:val="000D2DE2"/>
    <w:rsid w:val="000D332F"/>
    <w:rsid w:val="000D38BB"/>
    <w:rsid w:val="000D3B05"/>
    <w:rsid w:val="000D3B24"/>
    <w:rsid w:val="000D449E"/>
    <w:rsid w:val="000D475F"/>
    <w:rsid w:val="000D54DC"/>
    <w:rsid w:val="000D583A"/>
    <w:rsid w:val="000D5CE6"/>
    <w:rsid w:val="000D5E5F"/>
    <w:rsid w:val="000D5F72"/>
    <w:rsid w:val="000D6108"/>
    <w:rsid w:val="000D7120"/>
    <w:rsid w:val="000D79FA"/>
    <w:rsid w:val="000E07BB"/>
    <w:rsid w:val="000E0B1B"/>
    <w:rsid w:val="000E1336"/>
    <w:rsid w:val="000E14D4"/>
    <w:rsid w:val="000E16F7"/>
    <w:rsid w:val="000E17E2"/>
    <w:rsid w:val="000E1946"/>
    <w:rsid w:val="000E1F6D"/>
    <w:rsid w:val="000E20EB"/>
    <w:rsid w:val="000E236D"/>
    <w:rsid w:val="000E24D8"/>
    <w:rsid w:val="000E2EEA"/>
    <w:rsid w:val="000E3366"/>
    <w:rsid w:val="000E344D"/>
    <w:rsid w:val="000E3AC4"/>
    <w:rsid w:val="000E3C58"/>
    <w:rsid w:val="000E4513"/>
    <w:rsid w:val="000E4FC0"/>
    <w:rsid w:val="000E5456"/>
    <w:rsid w:val="000E57B8"/>
    <w:rsid w:val="000E5A77"/>
    <w:rsid w:val="000E657A"/>
    <w:rsid w:val="000E68ED"/>
    <w:rsid w:val="000E6DA5"/>
    <w:rsid w:val="000E733A"/>
    <w:rsid w:val="000E7AFE"/>
    <w:rsid w:val="000E7DBD"/>
    <w:rsid w:val="000E7E74"/>
    <w:rsid w:val="000E7EE6"/>
    <w:rsid w:val="000F01C9"/>
    <w:rsid w:val="000F102F"/>
    <w:rsid w:val="000F2E5F"/>
    <w:rsid w:val="000F3636"/>
    <w:rsid w:val="000F3638"/>
    <w:rsid w:val="000F3D53"/>
    <w:rsid w:val="000F49D3"/>
    <w:rsid w:val="000F4E51"/>
    <w:rsid w:val="000F51C0"/>
    <w:rsid w:val="000F5944"/>
    <w:rsid w:val="000F5BD2"/>
    <w:rsid w:val="000F5EAA"/>
    <w:rsid w:val="000F6BB8"/>
    <w:rsid w:val="000F6E93"/>
    <w:rsid w:val="000F721A"/>
    <w:rsid w:val="000F7350"/>
    <w:rsid w:val="000F7691"/>
    <w:rsid w:val="000F79A3"/>
    <w:rsid w:val="000F7CB4"/>
    <w:rsid w:val="00100E9F"/>
    <w:rsid w:val="00101317"/>
    <w:rsid w:val="001019AF"/>
    <w:rsid w:val="0010258D"/>
    <w:rsid w:val="00102921"/>
    <w:rsid w:val="00102B24"/>
    <w:rsid w:val="00102DF7"/>
    <w:rsid w:val="00102FCD"/>
    <w:rsid w:val="001037B6"/>
    <w:rsid w:val="00103F13"/>
    <w:rsid w:val="00104857"/>
    <w:rsid w:val="001057AE"/>
    <w:rsid w:val="0010584E"/>
    <w:rsid w:val="00105AC4"/>
    <w:rsid w:val="00106399"/>
    <w:rsid w:val="00106BE1"/>
    <w:rsid w:val="00107234"/>
    <w:rsid w:val="0010734F"/>
    <w:rsid w:val="001073A5"/>
    <w:rsid w:val="00107EB0"/>
    <w:rsid w:val="0011001C"/>
    <w:rsid w:val="00110446"/>
    <w:rsid w:val="001127ED"/>
    <w:rsid w:val="001128EC"/>
    <w:rsid w:val="00112CBB"/>
    <w:rsid w:val="00112DD7"/>
    <w:rsid w:val="00112EC8"/>
    <w:rsid w:val="001134B8"/>
    <w:rsid w:val="00113F31"/>
    <w:rsid w:val="001141E5"/>
    <w:rsid w:val="00114873"/>
    <w:rsid w:val="001149F8"/>
    <w:rsid w:val="00114AF0"/>
    <w:rsid w:val="00114C0C"/>
    <w:rsid w:val="0011672D"/>
    <w:rsid w:val="00116AB3"/>
    <w:rsid w:val="00116B72"/>
    <w:rsid w:val="00117033"/>
    <w:rsid w:val="0011708C"/>
    <w:rsid w:val="001176AC"/>
    <w:rsid w:val="00117CA8"/>
    <w:rsid w:val="00117D04"/>
    <w:rsid w:val="00117DA3"/>
    <w:rsid w:val="00120924"/>
    <w:rsid w:val="00120D94"/>
    <w:rsid w:val="00121683"/>
    <w:rsid w:val="0012179C"/>
    <w:rsid w:val="00121A95"/>
    <w:rsid w:val="00122135"/>
    <w:rsid w:val="00122688"/>
    <w:rsid w:val="00122745"/>
    <w:rsid w:val="00123009"/>
    <w:rsid w:val="00123460"/>
    <w:rsid w:val="00123672"/>
    <w:rsid w:val="001237BA"/>
    <w:rsid w:val="001238B0"/>
    <w:rsid w:val="001238DB"/>
    <w:rsid w:val="00123928"/>
    <w:rsid w:val="00124699"/>
    <w:rsid w:val="00124831"/>
    <w:rsid w:val="00124D87"/>
    <w:rsid w:val="00124E78"/>
    <w:rsid w:val="0012505A"/>
    <w:rsid w:val="00125616"/>
    <w:rsid w:val="00125646"/>
    <w:rsid w:val="001259AC"/>
    <w:rsid w:val="00125D4A"/>
    <w:rsid w:val="001264E3"/>
    <w:rsid w:val="001267A2"/>
    <w:rsid w:val="00127410"/>
    <w:rsid w:val="00127A12"/>
    <w:rsid w:val="00127DA7"/>
    <w:rsid w:val="00130253"/>
    <w:rsid w:val="001302BD"/>
    <w:rsid w:val="001305C0"/>
    <w:rsid w:val="00130A6F"/>
    <w:rsid w:val="001314D3"/>
    <w:rsid w:val="0013203C"/>
    <w:rsid w:val="00132605"/>
    <w:rsid w:val="00132A1E"/>
    <w:rsid w:val="00132E8B"/>
    <w:rsid w:val="00133080"/>
    <w:rsid w:val="0013332B"/>
    <w:rsid w:val="0013428C"/>
    <w:rsid w:val="001343BA"/>
    <w:rsid w:val="00134401"/>
    <w:rsid w:val="0013468F"/>
    <w:rsid w:val="00134706"/>
    <w:rsid w:val="00134CDD"/>
    <w:rsid w:val="001353A9"/>
    <w:rsid w:val="001353D1"/>
    <w:rsid w:val="00135518"/>
    <w:rsid w:val="00135991"/>
    <w:rsid w:val="00135A1B"/>
    <w:rsid w:val="00135BD6"/>
    <w:rsid w:val="001366A8"/>
    <w:rsid w:val="0013670C"/>
    <w:rsid w:val="00136B00"/>
    <w:rsid w:val="00137202"/>
    <w:rsid w:val="001376FA"/>
    <w:rsid w:val="00137C2F"/>
    <w:rsid w:val="001403C3"/>
    <w:rsid w:val="00140B5C"/>
    <w:rsid w:val="001413AC"/>
    <w:rsid w:val="001415F2"/>
    <w:rsid w:val="0014302D"/>
    <w:rsid w:val="00143060"/>
    <w:rsid w:val="00143B37"/>
    <w:rsid w:val="001445D7"/>
    <w:rsid w:val="00144606"/>
    <w:rsid w:val="00144A6C"/>
    <w:rsid w:val="00145006"/>
    <w:rsid w:val="001453F8"/>
    <w:rsid w:val="001469B1"/>
    <w:rsid w:val="00146E01"/>
    <w:rsid w:val="0014758F"/>
    <w:rsid w:val="00147EB9"/>
    <w:rsid w:val="00150694"/>
    <w:rsid w:val="00150C5C"/>
    <w:rsid w:val="0015157E"/>
    <w:rsid w:val="00151C7B"/>
    <w:rsid w:val="001533E6"/>
    <w:rsid w:val="00153471"/>
    <w:rsid w:val="0015354D"/>
    <w:rsid w:val="00154C9A"/>
    <w:rsid w:val="001550AB"/>
    <w:rsid w:val="00155D4C"/>
    <w:rsid w:val="0015600B"/>
    <w:rsid w:val="0015654A"/>
    <w:rsid w:val="00156B4F"/>
    <w:rsid w:val="00156CB8"/>
    <w:rsid w:val="001575CF"/>
    <w:rsid w:val="001601D5"/>
    <w:rsid w:val="00160C31"/>
    <w:rsid w:val="00160D93"/>
    <w:rsid w:val="00161930"/>
    <w:rsid w:val="00161CEE"/>
    <w:rsid w:val="00161DFE"/>
    <w:rsid w:val="00162381"/>
    <w:rsid w:val="00163195"/>
    <w:rsid w:val="001632FE"/>
    <w:rsid w:val="00163641"/>
    <w:rsid w:val="001638E0"/>
    <w:rsid w:val="00163A8B"/>
    <w:rsid w:val="00163DE9"/>
    <w:rsid w:val="00164038"/>
    <w:rsid w:val="00164919"/>
    <w:rsid w:val="00164FB3"/>
    <w:rsid w:val="00165684"/>
    <w:rsid w:val="001656A6"/>
    <w:rsid w:val="00165806"/>
    <w:rsid w:val="00165EB0"/>
    <w:rsid w:val="001663CA"/>
    <w:rsid w:val="001672A1"/>
    <w:rsid w:val="001679E2"/>
    <w:rsid w:val="0017126D"/>
    <w:rsid w:val="00171617"/>
    <w:rsid w:val="00171813"/>
    <w:rsid w:val="00171F2B"/>
    <w:rsid w:val="00172304"/>
    <w:rsid w:val="0017272A"/>
    <w:rsid w:val="00172C36"/>
    <w:rsid w:val="00172CBA"/>
    <w:rsid w:val="00172E15"/>
    <w:rsid w:val="00173A58"/>
    <w:rsid w:val="00173C7E"/>
    <w:rsid w:val="00173E0D"/>
    <w:rsid w:val="00174292"/>
    <w:rsid w:val="001746EA"/>
    <w:rsid w:val="00174C92"/>
    <w:rsid w:val="0017567F"/>
    <w:rsid w:val="00175A35"/>
    <w:rsid w:val="00175B24"/>
    <w:rsid w:val="00175D88"/>
    <w:rsid w:val="00175EBA"/>
    <w:rsid w:val="00175FA5"/>
    <w:rsid w:val="0017665D"/>
    <w:rsid w:val="00176B71"/>
    <w:rsid w:val="00176E43"/>
    <w:rsid w:val="00177B34"/>
    <w:rsid w:val="00177ED4"/>
    <w:rsid w:val="00180F95"/>
    <w:rsid w:val="001813E1"/>
    <w:rsid w:val="00181ADB"/>
    <w:rsid w:val="00182820"/>
    <w:rsid w:val="00182880"/>
    <w:rsid w:val="00182D47"/>
    <w:rsid w:val="00183086"/>
    <w:rsid w:val="001834F0"/>
    <w:rsid w:val="00183703"/>
    <w:rsid w:val="0018371F"/>
    <w:rsid w:val="00183853"/>
    <w:rsid w:val="001845F5"/>
    <w:rsid w:val="00184C84"/>
    <w:rsid w:val="00184CF1"/>
    <w:rsid w:val="00185623"/>
    <w:rsid w:val="001858A3"/>
    <w:rsid w:val="00185DBF"/>
    <w:rsid w:val="00186100"/>
    <w:rsid w:val="00186557"/>
    <w:rsid w:val="00186B33"/>
    <w:rsid w:val="00186BF3"/>
    <w:rsid w:val="00187065"/>
    <w:rsid w:val="001900E0"/>
    <w:rsid w:val="00190149"/>
    <w:rsid w:val="00190916"/>
    <w:rsid w:val="00191078"/>
    <w:rsid w:val="001915F4"/>
    <w:rsid w:val="001919D3"/>
    <w:rsid w:val="00192764"/>
    <w:rsid w:val="00193954"/>
    <w:rsid w:val="00193AC6"/>
    <w:rsid w:val="0019413E"/>
    <w:rsid w:val="001944B5"/>
    <w:rsid w:val="00194F23"/>
    <w:rsid w:val="0019535F"/>
    <w:rsid w:val="00195430"/>
    <w:rsid w:val="0019680A"/>
    <w:rsid w:val="00196EFA"/>
    <w:rsid w:val="001970FA"/>
    <w:rsid w:val="001978BB"/>
    <w:rsid w:val="00197B4C"/>
    <w:rsid w:val="00197EE6"/>
    <w:rsid w:val="001A0183"/>
    <w:rsid w:val="001A0299"/>
    <w:rsid w:val="001A02E4"/>
    <w:rsid w:val="001A0528"/>
    <w:rsid w:val="001A07A8"/>
    <w:rsid w:val="001A096B"/>
    <w:rsid w:val="001A0AA8"/>
    <w:rsid w:val="001A0E5A"/>
    <w:rsid w:val="001A1CC4"/>
    <w:rsid w:val="001A1DAE"/>
    <w:rsid w:val="001A29B4"/>
    <w:rsid w:val="001A4148"/>
    <w:rsid w:val="001A41DD"/>
    <w:rsid w:val="001A425E"/>
    <w:rsid w:val="001A4FD1"/>
    <w:rsid w:val="001A5511"/>
    <w:rsid w:val="001A577A"/>
    <w:rsid w:val="001A5A98"/>
    <w:rsid w:val="001A63FF"/>
    <w:rsid w:val="001A712B"/>
    <w:rsid w:val="001A716B"/>
    <w:rsid w:val="001A74B1"/>
    <w:rsid w:val="001A74DD"/>
    <w:rsid w:val="001A7781"/>
    <w:rsid w:val="001A78F4"/>
    <w:rsid w:val="001A7A4A"/>
    <w:rsid w:val="001A7DBC"/>
    <w:rsid w:val="001B096F"/>
    <w:rsid w:val="001B1093"/>
    <w:rsid w:val="001B130D"/>
    <w:rsid w:val="001B242E"/>
    <w:rsid w:val="001B32E9"/>
    <w:rsid w:val="001B3E6F"/>
    <w:rsid w:val="001B4041"/>
    <w:rsid w:val="001B5912"/>
    <w:rsid w:val="001B5F92"/>
    <w:rsid w:val="001B63EE"/>
    <w:rsid w:val="001B6769"/>
    <w:rsid w:val="001B679D"/>
    <w:rsid w:val="001B67B6"/>
    <w:rsid w:val="001B68A2"/>
    <w:rsid w:val="001B68FB"/>
    <w:rsid w:val="001B6B82"/>
    <w:rsid w:val="001B708B"/>
    <w:rsid w:val="001B70CA"/>
    <w:rsid w:val="001B7653"/>
    <w:rsid w:val="001B772D"/>
    <w:rsid w:val="001B7C56"/>
    <w:rsid w:val="001C0017"/>
    <w:rsid w:val="001C0C7B"/>
    <w:rsid w:val="001C0D7F"/>
    <w:rsid w:val="001C1300"/>
    <w:rsid w:val="001C1370"/>
    <w:rsid w:val="001C143B"/>
    <w:rsid w:val="001C177A"/>
    <w:rsid w:val="001C221A"/>
    <w:rsid w:val="001C2A9B"/>
    <w:rsid w:val="001C2B73"/>
    <w:rsid w:val="001C3476"/>
    <w:rsid w:val="001C3776"/>
    <w:rsid w:val="001C3A1D"/>
    <w:rsid w:val="001C3F79"/>
    <w:rsid w:val="001C43FC"/>
    <w:rsid w:val="001C540B"/>
    <w:rsid w:val="001C572F"/>
    <w:rsid w:val="001C5A47"/>
    <w:rsid w:val="001C6819"/>
    <w:rsid w:val="001C69EB"/>
    <w:rsid w:val="001C6C98"/>
    <w:rsid w:val="001C7734"/>
    <w:rsid w:val="001C7BB3"/>
    <w:rsid w:val="001C7E51"/>
    <w:rsid w:val="001D09BC"/>
    <w:rsid w:val="001D0FC4"/>
    <w:rsid w:val="001D113D"/>
    <w:rsid w:val="001D1239"/>
    <w:rsid w:val="001D13AE"/>
    <w:rsid w:val="001D1A24"/>
    <w:rsid w:val="001D23AF"/>
    <w:rsid w:val="001D2AA2"/>
    <w:rsid w:val="001D2B69"/>
    <w:rsid w:val="001D313B"/>
    <w:rsid w:val="001D3A01"/>
    <w:rsid w:val="001D51F4"/>
    <w:rsid w:val="001D5575"/>
    <w:rsid w:val="001D7ADE"/>
    <w:rsid w:val="001D7B7B"/>
    <w:rsid w:val="001E055A"/>
    <w:rsid w:val="001E08C0"/>
    <w:rsid w:val="001E15D1"/>
    <w:rsid w:val="001E164C"/>
    <w:rsid w:val="001E1AE3"/>
    <w:rsid w:val="001E1DE4"/>
    <w:rsid w:val="001E1FE5"/>
    <w:rsid w:val="001E206B"/>
    <w:rsid w:val="001E229D"/>
    <w:rsid w:val="001E2DB3"/>
    <w:rsid w:val="001E305C"/>
    <w:rsid w:val="001E3CE7"/>
    <w:rsid w:val="001E4966"/>
    <w:rsid w:val="001E4C65"/>
    <w:rsid w:val="001E4DFA"/>
    <w:rsid w:val="001E4F99"/>
    <w:rsid w:val="001E53CF"/>
    <w:rsid w:val="001E5640"/>
    <w:rsid w:val="001E565E"/>
    <w:rsid w:val="001E5D1F"/>
    <w:rsid w:val="001E60A5"/>
    <w:rsid w:val="001E6815"/>
    <w:rsid w:val="001E7AF9"/>
    <w:rsid w:val="001F05A2"/>
    <w:rsid w:val="001F094B"/>
    <w:rsid w:val="001F10AE"/>
    <w:rsid w:val="001F1274"/>
    <w:rsid w:val="001F15CE"/>
    <w:rsid w:val="001F1C6E"/>
    <w:rsid w:val="001F3E17"/>
    <w:rsid w:val="001F5053"/>
    <w:rsid w:val="001F5B19"/>
    <w:rsid w:val="001F5C56"/>
    <w:rsid w:val="001F6455"/>
    <w:rsid w:val="001F6ADA"/>
    <w:rsid w:val="001F6DD9"/>
    <w:rsid w:val="001F7A14"/>
    <w:rsid w:val="002000E0"/>
    <w:rsid w:val="0020027C"/>
    <w:rsid w:val="00200AFF"/>
    <w:rsid w:val="00200C3E"/>
    <w:rsid w:val="00201037"/>
    <w:rsid w:val="002016F1"/>
    <w:rsid w:val="00201837"/>
    <w:rsid w:val="002018DA"/>
    <w:rsid w:val="00201FC6"/>
    <w:rsid w:val="00202375"/>
    <w:rsid w:val="00202838"/>
    <w:rsid w:val="002032DB"/>
    <w:rsid w:val="00203DAD"/>
    <w:rsid w:val="002049D3"/>
    <w:rsid w:val="00204C18"/>
    <w:rsid w:val="0020505B"/>
    <w:rsid w:val="002050FF"/>
    <w:rsid w:val="002053EC"/>
    <w:rsid w:val="0020553A"/>
    <w:rsid w:val="00205D27"/>
    <w:rsid w:val="002060DD"/>
    <w:rsid w:val="00206112"/>
    <w:rsid w:val="00207300"/>
    <w:rsid w:val="00207685"/>
    <w:rsid w:val="00207DE9"/>
    <w:rsid w:val="00210DB4"/>
    <w:rsid w:val="0021100A"/>
    <w:rsid w:val="002110A3"/>
    <w:rsid w:val="002115E0"/>
    <w:rsid w:val="00211B9E"/>
    <w:rsid w:val="00212597"/>
    <w:rsid w:val="002128DC"/>
    <w:rsid w:val="002137BD"/>
    <w:rsid w:val="00215889"/>
    <w:rsid w:val="002169A8"/>
    <w:rsid w:val="00216D3A"/>
    <w:rsid w:val="0021708E"/>
    <w:rsid w:val="00217381"/>
    <w:rsid w:val="00217618"/>
    <w:rsid w:val="00217877"/>
    <w:rsid w:val="00217949"/>
    <w:rsid w:val="0021796A"/>
    <w:rsid w:val="002179F1"/>
    <w:rsid w:val="00217D48"/>
    <w:rsid w:val="00217FE2"/>
    <w:rsid w:val="00220263"/>
    <w:rsid w:val="002202E8"/>
    <w:rsid w:val="002214F2"/>
    <w:rsid w:val="00221BCD"/>
    <w:rsid w:val="00221C53"/>
    <w:rsid w:val="00221C55"/>
    <w:rsid w:val="00222376"/>
    <w:rsid w:val="002227BB"/>
    <w:rsid w:val="00222CB9"/>
    <w:rsid w:val="002239F7"/>
    <w:rsid w:val="00224667"/>
    <w:rsid w:val="0022496A"/>
    <w:rsid w:val="00224A53"/>
    <w:rsid w:val="002251FF"/>
    <w:rsid w:val="002255B5"/>
    <w:rsid w:val="00225758"/>
    <w:rsid w:val="00225AA9"/>
    <w:rsid w:val="00225B76"/>
    <w:rsid w:val="0022613F"/>
    <w:rsid w:val="00226DE9"/>
    <w:rsid w:val="002272BB"/>
    <w:rsid w:val="0022747B"/>
    <w:rsid w:val="00227729"/>
    <w:rsid w:val="00227FE3"/>
    <w:rsid w:val="00230238"/>
    <w:rsid w:val="002306C1"/>
    <w:rsid w:val="002308C8"/>
    <w:rsid w:val="0023150D"/>
    <w:rsid w:val="00231618"/>
    <w:rsid w:val="0023166D"/>
    <w:rsid w:val="002316C9"/>
    <w:rsid w:val="00231ADB"/>
    <w:rsid w:val="00231D48"/>
    <w:rsid w:val="00231EC2"/>
    <w:rsid w:val="00232DDF"/>
    <w:rsid w:val="0023323A"/>
    <w:rsid w:val="00234634"/>
    <w:rsid w:val="00234B09"/>
    <w:rsid w:val="002353CB"/>
    <w:rsid w:val="00235F10"/>
    <w:rsid w:val="002361DD"/>
    <w:rsid w:val="00236385"/>
    <w:rsid w:val="002364BD"/>
    <w:rsid w:val="002369F0"/>
    <w:rsid w:val="00236EB2"/>
    <w:rsid w:val="002370DE"/>
    <w:rsid w:val="00237382"/>
    <w:rsid w:val="002377F9"/>
    <w:rsid w:val="00237CE7"/>
    <w:rsid w:val="002401E6"/>
    <w:rsid w:val="002402BC"/>
    <w:rsid w:val="00240746"/>
    <w:rsid w:val="00240D5C"/>
    <w:rsid w:val="00240E02"/>
    <w:rsid w:val="002412AD"/>
    <w:rsid w:val="002415B8"/>
    <w:rsid w:val="00241629"/>
    <w:rsid w:val="00241DE4"/>
    <w:rsid w:val="002422EA"/>
    <w:rsid w:val="00242636"/>
    <w:rsid w:val="00242995"/>
    <w:rsid w:val="00242ECC"/>
    <w:rsid w:val="00243033"/>
    <w:rsid w:val="002435E6"/>
    <w:rsid w:val="002437B2"/>
    <w:rsid w:val="00243FCA"/>
    <w:rsid w:val="002449E9"/>
    <w:rsid w:val="00244D2F"/>
    <w:rsid w:val="00245166"/>
    <w:rsid w:val="00245550"/>
    <w:rsid w:val="00245A45"/>
    <w:rsid w:val="00245ED6"/>
    <w:rsid w:val="00246D0A"/>
    <w:rsid w:val="002478EA"/>
    <w:rsid w:val="00247D20"/>
    <w:rsid w:val="00247E57"/>
    <w:rsid w:val="00247EFA"/>
    <w:rsid w:val="0025101E"/>
    <w:rsid w:val="00252AB8"/>
    <w:rsid w:val="002536F7"/>
    <w:rsid w:val="00253CBE"/>
    <w:rsid w:val="00253F53"/>
    <w:rsid w:val="0025480D"/>
    <w:rsid w:val="00254BBA"/>
    <w:rsid w:val="00254EF0"/>
    <w:rsid w:val="0025503B"/>
    <w:rsid w:val="002553FF"/>
    <w:rsid w:val="00255FA6"/>
    <w:rsid w:val="00256088"/>
    <w:rsid w:val="00256114"/>
    <w:rsid w:val="002561C4"/>
    <w:rsid w:val="002574ED"/>
    <w:rsid w:val="00257852"/>
    <w:rsid w:val="00260AA1"/>
    <w:rsid w:val="00260C70"/>
    <w:rsid w:val="00262058"/>
    <w:rsid w:val="002621F8"/>
    <w:rsid w:val="00262F3E"/>
    <w:rsid w:val="002631F8"/>
    <w:rsid w:val="00265003"/>
    <w:rsid w:val="002659D0"/>
    <w:rsid w:val="00266014"/>
    <w:rsid w:val="00267086"/>
    <w:rsid w:val="0026760A"/>
    <w:rsid w:val="002678E6"/>
    <w:rsid w:val="00267A7B"/>
    <w:rsid w:val="00270712"/>
    <w:rsid w:val="00270E9E"/>
    <w:rsid w:val="00271A26"/>
    <w:rsid w:val="00273054"/>
    <w:rsid w:val="00273079"/>
    <w:rsid w:val="00273219"/>
    <w:rsid w:val="00273EBE"/>
    <w:rsid w:val="0027486B"/>
    <w:rsid w:val="00274A35"/>
    <w:rsid w:val="002754A3"/>
    <w:rsid w:val="002755E4"/>
    <w:rsid w:val="00275A90"/>
    <w:rsid w:val="00275BE5"/>
    <w:rsid w:val="00275CD0"/>
    <w:rsid w:val="002764D7"/>
    <w:rsid w:val="002766B2"/>
    <w:rsid w:val="0027788D"/>
    <w:rsid w:val="0028037A"/>
    <w:rsid w:val="00280E57"/>
    <w:rsid w:val="00282AAC"/>
    <w:rsid w:val="002832FD"/>
    <w:rsid w:val="00283326"/>
    <w:rsid w:val="002834A9"/>
    <w:rsid w:val="00283559"/>
    <w:rsid w:val="00283B43"/>
    <w:rsid w:val="00283C33"/>
    <w:rsid w:val="00284174"/>
    <w:rsid w:val="00284875"/>
    <w:rsid w:val="00284FB0"/>
    <w:rsid w:val="002850A8"/>
    <w:rsid w:val="00285322"/>
    <w:rsid w:val="002857DA"/>
    <w:rsid w:val="00285B4C"/>
    <w:rsid w:val="00285F1B"/>
    <w:rsid w:val="002862B1"/>
    <w:rsid w:val="002864A9"/>
    <w:rsid w:val="00286629"/>
    <w:rsid w:val="0028672E"/>
    <w:rsid w:val="00286CA7"/>
    <w:rsid w:val="00286D12"/>
    <w:rsid w:val="00286FF2"/>
    <w:rsid w:val="00287475"/>
    <w:rsid w:val="00287DDF"/>
    <w:rsid w:val="002901FF"/>
    <w:rsid w:val="00290493"/>
    <w:rsid w:val="00291B53"/>
    <w:rsid w:val="00291D99"/>
    <w:rsid w:val="00292A43"/>
    <w:rsid w:val="00292AE6"/>
    <w:rsid w:val="00292B40"/>
    <w:rsid w:val="00293073"/>
    <w:rsid w:val="0029309F"/>
    <w:rsid w:val="00294DC4"/>
    <w:rsid w:val="002961EA"/>
    <w:rsid w:val="00296509"/>
    <w:rsid w:val="0029658D"/>
    <w:rsid w:val="0029716F"/>
    <w:rsid w:val="0029759D"/>
    <w:rsid w:val="002A0672"/>
    <w:rsid w:val="002A1068"/>
    <w:rsid w:val="002A1294"/>
    <w:rsid w:val="002A2388"/>
    <w:rsid w:val="002A2BB0"/>
    <w:rsid w:val="002A3268"/>
    <w:rsid w:val="002A356C"/>
    <w:rsid w:val="002A36E6"/>
    <w:rsid w:val="002A397E"/>
    <w:rsid w:val="002A399F"/>
    <w:rsid w:val="002A3D91"/>
    <w:rsid w:val="002A448F"/>
    <w:rsid w:val="002A456C"/>
    <w:rsid w:val="002A477F"/>
    <w:rsid w:val="002A49B6"/>
    <w:rsid w:val="002A4C8B"/>
    <w:rsid w:val="002A52F0"/>
    <w:rsid w:val="002A54E4"/>
    <w:rsid w:val="002A5606"/>
    <w:rsid w:val="002A5D14"/>
    <w:rsid w:val="002A61A3"/>
    <w:rsid w:val="002A6228"/>
    <w:rsid w:val="002A6481"/>
    <w:rsid w:val="002A6B75"/>
    <w:rsid w:val="002A6FA7"/>
    <w:rsid w:val="002A75C1"/>
    <w:rsid w:val="002A7731"/>
    <w:rsid w:val="002A776A"/>
    <w:rsid w:val="002A7969"/>
    <w:rsid w:val="002B09D5"/>
    <w:rsid w:val="002B0A22"/>
    <w:rsid w:val="002B0F5E"/>
    <w:rsid w:val="002B11FD"/>
    <w:rsid w:val="002B1AD8"/>
    <w:rsid w:val="002B2D06"/>
    <w:rsid w:val="002B2E13"/>
    <w:rsid w:val="002B3021"/>
    <w:rsid w:val="002B38F6"/>
    <w:rsid w:val="002B3C5A"/>
    <w:rsid w:val="002B3F58"/>
    <w:rsid w:val="002B50E5"/>
    <w:rsid w:val="002B5530"/>
    <w:rsid w:val="002B61DD"/>
    <w:rsid w:val="002B65E2"/>
    <w:rsid w:val="002B6E3A"/>
    <w:rsid w:val="002B7D37"/>
    <w:rsid w:val="002C00C4"/>
    <w:rsid w:val="002C01C9"/>
    <w:rsid w:val="002C02DA"/>
    <w:rsid w:val="002C0618"/>
    <w:rsid w:val="002C0BF9"/>
    <w:rsid w:val="002C1C2F"/>
    <w:rsid w:val="002C1E24"/>
    <w:rsid w:val="002C2584"/>
    <w:rsid w:val="002C28A6"/>
    <w:rsid w:val="002C2CC7"/>
    <w:rsid w:val="002C2FEE"/>
    <w:rsid w:val="002C3366"/>
    <w:rsid w:val="002C3960"/>
    <w:rsid w:val="002C3EBC"/>
    <w:rsid w:val="002C4176"/>
    <w:rsid w:val="002C4234"/>
    <w:rsid w:val="002C4800"/>
    <w:rsid w:val="002C52F6"/>
    <w:rsid w:val="002C5BBA"/>
    <w:rsid w:val="002C5C3E"/>
    <w:rsid w:val="002C5C73"/>
    <w:rsid w:val="002C60B9"/>
    <w:rsid w:val="002C6AFF"/>
    <w:rsid w:val="002C6BAF"/>
    <w:rsid w:val="002C7323"/>
    <w:rsid w:val="002C7594"/>
    <w:rsid w:val="002C7B13"/>
    <w:rsid w:val="002D0497"/>
    <w:rsid w:val="002D0C91"/>
    <w:rsid w:val="002D0CF6"/>
    <w:rsid w:val="002D0F70"/>
    <w:rsid w:val="002D12EC"/>
    <w:rsid w:val="002D1312"/>
    <w:rsid w:val="002D164A"/>
    <w:rsid w:val="002D17C1"/>
    <w:rsid w:val="002D1978"/>
    <w:rsid w:val="002D1CC2"/>
    <w:rsid w:val="002D2B37"/>
    <w:rsid w:val="002D2C44"/>
    <w:rsid w:val="002D3727"/>
    <w:rsid w:val="002D38D0"/>
    <w:rsid w:val="002D3AF6"/>
    <w:rsid w:val="002D3D2B"/>
    <w:rsid w:val="002D3FE8"/>
    <w:rsid w:val="002D410D"/>
    <w:rsid w:val="002D411C"/>
    <w:rsid w:val="002D42B1"/>
    <w:rsid w:val="002D43A8"/>
    <w:rsid w:val="002D46D0"/>
    <w:rsid w:val="002D4D0A"/>
    <w:rsid w:val="002D5619"/>
    <w:rsid w:val="002D5B86"/>
    <w:rsid w:val="002D617F"/>
    <w:rsid w:val="002D650E"/>
    <w:rsid w:val="002D670D"/>
    <w:rsid w:val="002D6772"/>
    <w:rsid w:val="002D6CE6"/>
    <w:rsid w:val="002D71DE"/>
    <w:rsid w:val="002D7A60"/>
    <w:rsid w:val="002D7ADD"/>
    <w:rsid w:val="002D7BFB"/>
    <w:rsid w:val="002E029B"/>
    <w:rsid w:val="002E0553"/>
    <w:rsid w:val="002E0731"/>
    <w:rsid w:val="002E09B2"/>
    <w:rsid w:val="002E0DB9"/>
    <w:rsid w:val="002E0F39"/>
    <w:rsid w:val="002E14A8"/>
    <w:rsid w:val="002E1899"/>
    <w:rsid w:val="002E196D"/>
    <w:rsid w:val="002E1975"/>
    <w:rsid w:val="002E1A93"/>
    <w:rsid w:val="002E205C"/>
    <w:rsid w:val="002E21AF"/>
    <w:rsid w:val="002E2362"/>
    <w:rsid w:val="002E27B4"/>
    <w:rsid w:val="002E3043"/>
    <w:rsid w:val="002E471D"/>
    <w:rsid w:val="002E5580"/>
    <w:rsid w:val="002E5B3A"/>
    <w:rsid w:val="002E6B9C"/>
    <w:rsid w:val="002E7577"/>
    <w:rsid w:val="002E7AA3"/>
    <w:rsid w:val="002E7B71"/>
    <w:rsid w:val="002F02F4"/>
    <w:rsid w:val="002F073B"/>
    <w:rsid w:val="002F0ACA"/>
    <w:rsid w:val="002F1375"/>
    <w:rsid w:val="002F143C"/>
    <w:rsid w:val="002F163D"/>
    <w:rsid w:val="002F1E68"/>
    <w:rsid w:val="002F1E92"/>
    <w:rsid w:val="002F285B"/>
    <w:rsid w:val="002F2A8B"/>
    <w:rsid w:val="002F2D69"/>
    <w:rsid w:val="002F3420"/>
    <w:rsid w:val="002F3489"/>
    <w:rsid w:val="002F40DC"/>
    <w:rsid w:val="002F5B69"/>
    <w:rsid w:val="002F5CE7"/>
    <w:rsid w:val="002F6145"/>
    <w:rsid w:val="002F644B"/>
    <w:rsid w:val="002F7311"/>
    <w:rsid w:val="002F7B50"/>
    <w:rsid w:val="00300770"/>
    <w:rsid w:val="00300B44"/>
    <w:rsid w:val="00300C12"/>
    <w:rsid w:val="00300C9D"/>
    <w:rsid w:val="00301046"/>
    <w:rsid w:val="00301BDC"/>
    <w:rsid w:val="003022AA"/>
    <w:rsid w:val="00302B9B"/>
    <w:rsid w:val="00303026"/>
    <w:rsid w:val="00303377"/>
    <w:rsid w:val="0030338F"/>
    <w:rsid w:val="003037FD"/>
    <w:rsid w:val="003039F5"/>
    <w:rsid w:val="00303AEE"/>
    <w:rsid w:val="00303D57"/>
    <w:rsid w:val="0030448D"/>
    <w:rsid w:val="00304535"/>
    <w:rsid w:val="003048BE"/>
    <w:rsid w:val="0030517B"/>
    <w:rsid w:val="00305775"/>
    <w:rsid w:val="00305A09"/>
    <w:rsid w:val="00305B22"/>
    <w:rsid w:val="00305FFF"/>
    <w:rsid w:val="00306218"/>
    <w:rsid w:val="00306C18"/>
    <w:rsid w:val="00307190"/>
    <w:rsid w:val="003073A5"/>
    <w:rsid w:val="00310270"/>
    <w:rsid w:val="00310A21"/>
    <w:rsid w:val="00310D1E"/>
    <w:rsid w:val="003113FE"/>
    <w:rsid w:val="00311F80"/>
    <w:rsid w:val="003121A3"/>
    <w:rsid w:val="00312DC8"/>
    <w:rsid w:val="0031458E"/>
    <w:rsid w:val="00314607"/>
    <w:rsid w:val="003147D6"/>
    <w:rsid w:val="003148B6"/>
    <w:rsid w:val="00314B18"/>
    <w:rsid w:val="00315274"/>
    <w:rsid w:val="003154A6"/>
    <w:rsid w:val="00315EB7"/>
    <w:rsid w:val="00316D69"/>
    <w:rsid w:val="003171C6"/>
    <w:rsid w:val="00317295"/>
    <w:rsid w:val="00317E8F"/>
    <w:rsid w:val="00317F86"/>
    <w:rsid w:val="0032004F"/>
    <w:rsid w:val="0032005C"/>
    <w:rsid w:val="003201CE"/>
    <w:rsid w:val="00320F91"/>
    <w:rsid w:val="00321EA4"/>
    <w:rsid w:val="00322726"/>
    <w:rsid w:val="00322819"/>
    <w:rsid w:val="00322C93"/>
    <w:rsid w:val="003232B1"/>
    <w:rsid w:val="003238FD"/>
    <w:rsid w:val="00323D73"/>
    <w:rsid w:val="00324393"/>
    <w:rsid w:val="0032487D"/>
    <w:rsid w:val="003260AB"/>
    <w:rsid w:val="003264E1"/>
    <w:rsid w:val="00326B14"/>
    <w:rsid w:val="00326D80"/>
    <w:rsid w:val="00326EC4"/>
    <w:rsid w:val="00327568"/>
    <w:rsid w:val="0032797D"/>
    <w:rsid w:val="003303CE"/>
    <w:rsid w:val="003306CE"/>
    <w:rsid w:val="00331E43"/>
    <w:rsid w:val="003322A2"/>
    <w:rsid w:val="00332449"/>
    <w:rsid w:val="0033260F"/>
    <w:rsid w:val="003326C2"/>
    <w:rsid w:val="00332B9E"/>
    <w:rsid w:val="00332EAE"/>
    <w:rsid w:val="003334C6"/>
    <w:rsid w:val="00333A00"/>
    <w:rsid w:val="00333A3F"/>
    <w:rsid w:val="003344DC"/>
    <w:rsid w:val="003348EF"/>
    <w:rsid w:val="00334E0B"/>
    <w:rsid w:val="00335669"/>
    <w:rsid w:val="0033571A"/>
    <w:rsid w:val="003357B0"/>
    <w:rsid w:val="003357B4"/>
    <w:rsid w:val="00335923"/>
    <w:rsid w:val="00335A35"/>
    <w:rsid w:val="00335DEB"/>
    <w:rsid w:val="00336112"/>
    <w:rsid w:val="003365EB"/>
    <w:rsid w:val="00336885"/>
    <w:rsid w:val="00336D06"/>
    <w:rsid w:val="00336D46"/>
    <w:rsid w:val="00336E4D"/>
    <w:rsid w:val="00336F96"/>
    <w:rsid w:val="003374E2"/>
    <w:rsid w:val="0033792C"/>
    <w:rsid w:val="003379FE"/>
    <w:rsid w:val="00340582"/>
    <w:rsid w:val="00340A5C"/>
    <w:rsid w:val="003413BF"/>
    <w:rsid w:val="0034169C"/>
    <w:rsid w:val="0034214A"/>
    <w:rsid w:val="003427CC"/>
    <w:rsid w:val="00343292"/>
    <w:rsid w:val="0034392B"/>
    <w:rsid w:val="00343B9F"/>
    <w:rsid w:val="00344DC3"/>
    <w:rsid w:val="00345390"/>
    <w:rsid w:val="0034578D"/>
    <w:rsid w:val="003462B7"/>
    <w:rsid w:val="003472D8"/>
    <w:rsid w:val="003500E0"/>
    <w:rsid w:val="00350207"/>
    <w:rsid w:val="00350327"/>
    <w:rsid w:val="00351339"/>
    <w:rsid w:val="00351E40"/>
    <w:rsid w:val="003520E6"/>
    <w:rsid w:val="00352108"/>
    <w:rsid w:val="00352371"/>
    <w:rsid w:val="003523CB"/>
    <w:rsid w:val="0035275E"/>
    <w:rsid w:val="00352944"/>
    <w:rsid w:val="00352DC1"/>
    <w:rsid w:val="00352F15"/>
    <w:rsid w:val="003531F3"/>
    <w:rsid w:val="00353AA8"/>
    <w:rsid w:val="00353C8E"/>
    <w:rsid w:val="00354887"/>
    <w:rsid w:val="00355196"/>
    <w:rsid w:val="00355338"/>
    <w:rsid w:val="00355558"/>
    <w:rsid w:val="00355911"/>
    <w:rsid w:val="0035666D"/>
    <w:rsid w:val="00356867"/>
    <w:rsid w:val="003572B9"/>
    <w:rsid w:val="00357CF0"/>
    <w:rsid w:val="003600EE"/>
    <w:rsid w:val="00360DB2"/>
    <w:rsid w:val="00361121"/>
    <w:rsid w:val="00361CC9"/>
    <w:rsid w:val="003621B7"/>
    <w:rsid w:val="00362244"/>
    <w:rsid w:val="00362508"/>
    <w:rsid w:val="00362640"/>
    <w:rsid w:val="003630EB"/>
    <w:rsid w:val="0036341A"/>
    <w:rsid w:val="00364045"/>
    <w:rsid w:val="003643B0"/>
    <w:rsid w:val="0036450B"/>
    <w:rsid w:val="00364E7A"/>
    <w:rsid w:val="00365192"/>
    <w:rsid w:val="003651D9"/>
    <w:rsid w:val="0036569F"/>
    <w:rsid w:val="0036682D"/>
    <w:rsid w:val="00367B95"/>
    <w:rsid w:val="00367BD8"/>
    <w:rsid w:val="00367C3E"/>
    <w:rsid w:val="00367C51"/>
    <w:rsid w:val="00370057"/>
    <w:rsid w:val="003708A0"/>
    <w:rsid w:val="003713CF"/>
    <w:rsid w:val="003714C6"/>
    <w:rsid w:val="0037151A"/>
    <w:rsid w:val="00371C74"/>
    <w:rsid w:val="003722CD"/>
    <w:rsid w:val="003722CE"/>
    <w:rsid w:val="0037257B"/>
    <w:rsid w:val="00372F44"/>
    <w:rsid w:val="00373082"/>
    <w:rsid w:val="00373461"/>
    <w:rsid w:val="0037396E"/>
    <w:rsid w:val="0037396F"/>
    <w:rsid w:val="00373A77"/>
    <w:rsid w:val="003745D6"/>
    <w:rsid w:val="003747F3"/>
    <w:rsid w:val="0037656A"/>
    <w:rsid w:val="00376BE2"/>
    <w:rsid w:val="00376D14"/>
    <w:rsid w:val="00380131"/>
    <w:rsid w:val="003808F6"/>
    <w:rsid w:val="00380B14"/>
    <w:rsid w:val="00381BE6"/>
    <w:rsid w:val="00382242"/>
    <w:rsid w:val="003833ED"/>
    <w:rsid w:val="00383B1F"/>
    <w:rsid w:val="00383F86"/>
    <w:rsid w:val="0038435F"/>
    <w:rsid w:val="003846F1"/>
    <w:rsid w:val="00384A3D"/>
    <w:rsid w:val="00385216"/>
    <w:rsid w:val="003863E1"/>
    <w:rsid w:val="00386717"/>
    <w:rsid w:val="003874D8"/>
    <w:rsid w:val="00387AAB"/>
    <w:rsid w:val="00387F36"/>
    <w:rsid w:val="00387F81"/>
    <w:rsid w:val="0039008A"/>
    <w:rsid w:val="00390858"/>
    <w:rsid w:val="00390A31"/>
    <w:rsid w:val="00390F89"/>
    <w:rsid w:val="00391A26"/>
    <w:rsid w:val="003925FE"/>
    <w:rsid w:val="00392F3D"/>
    <w:rsid w:val="00392F44"/>
    <w:rsid w:val="00392FA2"/>
    <w:rsid w:val="003941D1"/>
    <w:rsid w:val="0039432C"/>
    <w:rsid w:val="0039531B"/>
    <w:rsid w:val="00395D99"/>
    <w:rsid w:val="00397C2B"/>
    <w:rsid w:val="003A02F0"/>
    <w:rsid w:val="003A0436"/>
    <w:rsid w:val="003A0682"/>
    <w:rsid w:val="003A0821"/>
    <w:rsid w:val="003A1157"/>
    <w:rsid w:val="003A165A"/>
    <w:rsid w:val="003A2600"/>
    <w:rsid w:val="003A2C12"/>
    <w:rsid w:val="003A3875"/>
    <w:rsid w:val="003A4529"/>
    <w:rsid w:val="003A4792"/>
    <w:rsid w:val="003A4934"/>
    <w:rsid w:val="003A5896"/>
    <w:rsid w:val="003A59B0"/>
    <w:rsid w:val="003A5F72"/>
    <w:rsid w:val="003A62BA"/>
    <w:rsid w:val="003A7111"/>
    <w:rsid w:val="003A729D"/>
    <w:rsid w:val="003A7370"/>
    <w:rsid w:val="003A747D"/>
    <w:rsid w:val="003A7DCC"/>
    <w:rsid w:val="003B0598"/>
    <w:rsid w:val="003B06E0"/>
    <w:rsid w:val="003B089D"/>
    <w:rsid w:val="003B0C7F"/>
    <w:rsid w:val="003B0EB5"/>
    <w:rsid w:val="003B13B7"/>
    <w:rsid w:val="003B2366"/>
    <w:rsid w:val="003B24C0"/>
    <w:rsid w:val="003B24D9"/>
    <w:rsid w:val="003B25ED"/>
    <w:rsid w:val="003B2694"/>
    <w:rsid w:val="003B2E59"/>
    <w:rsid w:val="003B2F5E"/>
    <w:rsid w:val="003B32FB"/>
    <w:rsid w:val="003B3C0C"/>
    <w:rsid w:val="003B3E55"/>
    <w:rsid w:val="003B4811"/>
    <w:rsid w:val="003B4E8C"/>
    <w:rsid w:val="003B5096"/>
    <w:rsid w:val="003B5666"/>
    <w:rsid w:val="003B63B5"/>
    <w:rsid w:val="003B6624"/>
    <w:rsid w:val="003B6BB8"/>
    <w:rsid w:val="003B6BF6"/>
    <w:rsid w:val="003B739D"/>
    <w:rsid w:val="003C0000"/>
    <w:rsid w:val="003C019C"/>
    <w:rsid w:val="003C04E0"/>
    <w:rsid w:val="003C0BDB"/>
    <w:rsid w:val="003C1460"/>
    <w:rsid w:val="003C253B"/>
    <w:rsid w:val="003C34C5"/>
    <w:rsid w:val="003C3FEA"/>
    <w:rsid w:val="003C51EB"/>
    <w:rsid w:val="003C5390"/>
    <w:rsid w:val="003C5FC2"/>
    <w:rsid w:val="003C6855"/>
    <w:rsid w:val="003C6B83"/>
    <w:rsid w:val="003C6E04"/>
    <w:rsid w:val="003C75A0"/>
    <w:rsid w:val="003D0037"/>
    <w:rsid w:val="003D035E"/>
    <w:rsid w:val="003D15AB"/>
    <w:rsid w:val="003D173B"/>
    <w:rsid w:val="003D1D29"/>
    <w:rsid w:val="003D1F9F"/>
    <w:rsid w:val="003D20C1"/>
    <w:rsid w:val="003D299A"/>
    <w:rsid w:val="003D2FD4"/>
    <w:rsid w:val="003D31E1"/>
    <w:rsid w:val="003D3289"/>
    <w:rsid w:val="003D328E"/>
    <w:rsid w:val="003D3302"/>
    <w:rsid w:val="003D3369"/>
    <w:rsid w:val="003D4D26"/>
    <w:rsid w:val="003D55C7"/>
    <w:rsid w:val="003D56CB"/>
    <w:rsid w:val="003D5EF2"/>
    <w:rsid w:val="003D5FC0"/>
    <w:rsid w:val="003D67FB"/>
    <w:rsid w:val="003D6B41"/>
    <w:rsid w:val="003D70B4"/>
    <w:rsid w:val="003D74BE"/>
    <w:rsid w:val="003E04BD"/>
    <w:rsid w:val="003E12EC"/>
    <w:rsid w:val="003E21A0"/>
    <w:rsid w:val="003E2708"/>
    <w:rsid w:val="003E2FE1"/>
    <w:rsid w:val="003E3274"/>
    <w:rsid w:val="003E3384"/>
    <w:rsid w:val="003E3479"/>
    <w:rsid w:val="003E3696"/>
    <w:rsid w:val="003E3877"/>
    <w:rsid w:val="003E3AF4"/>
    <w:rsid w:val="003E5537"/>
    <w:rsid w:val="003E606A"/>
    <w:rsid w:val="003E6281"/>
    <w:rsid w:val="003E6973"/>
    <w:rsid w:val="003E7449"/>
    <w:rsid w:val="003E749E"/>
    <w:rsid w:val="003E7C51"/>
    <w:rsid w:val="003E7FC2"/>
    <w:rsid w:val="003F0258"/>
    <w:rsid w:val="003F08BD"/>
    <w:rsid w:val="003F196B"/>
    <w:rsid w:val="003F1CA6"/>
    <w:rsid w:val="003F21B1"/>
    <w:rsid w:val="003F32C6"/>
    <w:rsid w:val="003F32E9"/>
    <w:rsid w:val="003F34DE"/>
    <w:rsid w:val="003F36D7"/>
    <w:rsid w:val="003F3CDF"/>
    <w:rsid w:val="003F490A"/>
    <w:rsid w:val="003F521C"/>
    <w:rsid w:val="003F5586"/>
    <w:rsid w:val="003F604A"/>
    <w:rsid w:val="003F6158"/>
    <w:rsid w:val="003F6AB1"/>
    <w:rsid w:val="003F6F80"/>
    <w:rsid w:val="003F7E5F"/>
    <w:rsid w:val="003F7F36"/>
    <w:rsid w:val="00400451"/>
    <w:rsid w:val="0040145B"/>
    <w:rsid w:val="00401FC9"/>
    <w:rsid w:val="00402217"/>
    <w:rsid w:val="00402C44"/>
    <w:rsid w:val="00402EF4"/>
    <w:rsid w:val="004034F5"/>
    <w:rsid w:val="00403AA4"/>
    <w:rsid w:val="00403C51"/>
    <w:rsid w:val="00403EC4"/>
    <w:rsid w:val="004040C5"/>
    <w:rsid w:val="004043F1"/>
    <w:rsid w:val="004047B1"/>
    <w:rsid w:val="00404A3C"/>
    <w:rsid w:val="00404CF5"/>
    <w:rsid w:val="004053A0"/>
    <w:rsid w:val="004053FB"/>
    <w:rsid w:val="004056C0"/>
    <w:rsid w:val="00405BA0"/>
    <w:rsid w:val="00405BF8"/>
    <w:rsid w:val="00405E1D"/>
    <w:rsid w:val="0040711C"/>
    <w:rsid w:val="00407AFF"/>
    <w:rsid w:val="00407E04"/>
    <w:rsid w:val="00411027"/>
    <w:rsid w:val="004117DA"/>
    <w:rsid w:val="00411BF8"/>
    <w:rsid w:val="00411D5B"/>
    <w:rsid w:val="00411D88"/>
    <w:rsid w:val="004123E0"/>
    <w:rsid w:val="00412A5D"/>
    <w:rsid w:val="00412E81"/>
    <w:rsid w:val="00412FCA"/>
    <w:rsid w:val="0041353C"/>
    <w:rsid w:val="004141E7"/>
    <w:rsid w:val="00414333"/>
    <w:rsid w:val="00414695"/>
    <w:rsid w:val="00414AD0"/>
    <w:rsid w:val="00415116"/>
    <w:rsid w:val="004152B1"/>
    <w:rsid w:val="00415653"/>
    <w:rsid w:val="00415781"/>
    <w:rsid w:val="0041599C"/>
    <w:rsid w:val="00415AAD"/>
    <w:rsid w:val="00415FDA"/>
    <w:rsid w:val="00416940"/>
    <w:rsid w:val="00417870"/>
    <w:rsid w:val="00417F7C"/>
    <w:rsid w:val="00420046"/>
    <w:rsid w:val="0042054B"/>
    <w:rsid w:val="0042083F"/>
    <w:rsid w:val="00420FF2"/>
    <w:rsid w:val="0042228E"/>
    <w:rsid w:val="004225D4"/>
    <w:rsid w:val="0042263F"/>
    <w:rsid w:val="004227FA"/>
    <w:rsid w:val="004229CE"/>
    <w:rsid w:val="00422A72"/>
    <w:rsid w:val="0042341C"/>
    <w:rsid w:val="004236E5"/>
    <w:rsid w:val="00423C8C"/>
    <w:rsid w:val="00423EB8"/>
    <w:rsid w:val="00424937"/>
    <w:rsid w:val="00425491"/>
    <w:rsid w:val="004254F8"/>
    <w:rsid w:val="00425507"/>
    <w:rsid w:val="00425592"/>
    <w:rsid w:val="00425777"/>
    <w:rsid w:val="00425819"/>
    <w:rsid w:val="00425F83"/>
    <w:rsid w:val="004261DF"/>
    <w:rsid w:val="004265F4"/>
    <w:rsid w:val="004268B5"/>
    <w:rsid w:val="00426E3E"/>
    <w:rsid w:val="00427143"/>
    <w:rsid w:val="0042795E"/>
    <w:rsid w:val="00427D5B"/>
    <w:rsid w:val="0042887A"/>
    <w:rsid w:val="004301AF"/>
    <w:rsid w:val="0043040F"/>
    <w:rsid w:val="004305F2"/>
    <w:rsid w:val="0043097D"/>
    <w:rsid w:val="00430AC9"/>
    <w:rsid w:val="00430B7F"/>
    <w:rsid w:val="00430D81"/>
    <w:rsid w:val="004312C5"/>
    <w:rsid w:val="00431851"/>
    <w:rsid w:val="00432045"/>
    <w:rsid w:val="00432206"/>
    <w:rsid w:val="00432805"/>
    <w:rsid w:val="00432943"/>
    <w:rsid w:val="00433A14"/>
    <w:rsid w:val="004340F2"/>
    <w:rsid w:val="004346CD"/>
    <w:rsid w:val="004347E3"/>
    <w:rsid w:val="00435703"/>
    <w:rsid w:val="00436114"/>
    <w:rsid w:val="00437195"/>
    <w:rsid w:val="0043767C"/>
    <w:rsid w:val="00437A5F"/>
    <w:rsid w:val="00440067"/>
    <w:rsid w:val="00440379"/>
    <w:rsid w:val="004408A0"/>
    <w:rsid w:val="004416FA"/>
    <w:rsid w:val="00441CED"/>
    <w:rsid w:val="00441F48"/>
    <w:rsid w:val="004426A1"/>
    <w:rsid w:val="004429F4"/>
    <w:rsid w:val="004430BA"/>
    <w:rsid w:val="00444336"/>
    <w:rsid w:val="004443B6"/>
    <w:rsid w:val="004447DA"/>
    <w:rsid w:val="004451E0"/>
    <w:rsid w:val="00445735"/>
    <w:rsid w:val="004457C0"/>
    <w:rsid w:val="00445FB6"/>
    <w:rsid w:val="0044615C"/>
    <w:rsid w:val="004461FD"/>
    <w:rsid w:val="0044636A"/>
    <w:rsid w:val="00446538"/>
    <w:rsid w:val="00446635"/>
    <w:rsid w:val="004467DA"/>
    <w:rsid w:val="00446B7D"/>
    <w:rsid w:val="00446CE5"/>
    <w:rsid w:val="00446F29"/>
    <w:rsid w:val="00447294"/>
    <w:rsid w:val="0045049A"/>
    <w:rsid w:val="00451EA2"/>
    <w:rsid w:val="004523F7"/>
    <w:rsid w:val="00452AEC"/>
    <w:rsid w:val="004534F1"/>
    <w:rsid w:val="00454CFD"/>
    <w:rsid w:val="00454DFD"/>
    <w:rsid w:val="00455339"/>
    <w:rsid w:val="00455341"/>
    <w:rsid w:val="00456A2C"/>
    <w:rsid w:val="00456FD8"/>
    <w:rsid w:val="00457238"/>
    <w:rsid w:val="0045735E"/>
    <w:rsid w:val="0046058B"/>
    <w:rsid w:val="004608F4"/>
    <w:rsid w:val="00460A8E"/>
    <w:rsid w:val="0046159C"/>
    <w:rsid w:val="00462588"/>
    <w:rsid w:val="00462E82"/>
    <w:rsid w:val="0046337A"/>
    <w:rsid w:val="00463660"/>
    <w:rsid w:val="00463D00"/>
    <w:rsid w:val="00464157"/>
    <w:rsid w:val="004649FF"/>
    <w:rsid w:val="00464B66"/>
    <w:rsid w:val="00464EE9"/>
    <w:rsid w:val="0046585B"/>
    <w:rsid w:val="00465A24"/>
    <w:rsid w:val="00467035"/>
    <w:rsid w:val="00467408"/>
    <w:rsid w:val="00467B2D"/>
    <w:rsid w:val="004706F1"/>
    <w:rsid w:val="00472152"/>
    <w:rsid w:val="00472423"/>
    <w:rsid w:val="0047360C"/>
    <w:rsid w:val="00474208"/>
    <w:rsid w:val="004757BB"/>
    <w:rsid w:val="00476718"/>
    <w:rsid w:val="0047673B"/>
    <w:rsid w:val="00476F71"/>
    <w:rsid w:val="004771A0"/>
    <w:rsid w:val="004771BC"/>
    <w:rsid w:val="00477504"/>
    <w:rsid w:val="00477C13"/>
    <w:rsid w:val="00477E18"/>
    <w:rsid w:val="00477E1F"/>
    <w:rsid w:val="00480117"/>
    <w:rsid w:val="004803B0"/>
    <w:rsid w:val="004804BB"/>
    <w:rsid w:val="00480EC7"/>
    <w:rsid w:val="00481329"/>
    <w:rsid w:val="004816AC"/>
    <w:rsid w:val="004816FA"/>
    <w:rsid w:val="00481B82"/>
    <w:rsid w:val="004822AE"/>
    <w:rsid w:val="004824EB"/>
    <w:rsid w:val="00482A2F"/>
    <w:rsid w:val="00482A57"/>
    <w:rsid w:val="00482AD4"/>
    <w:rsid w:val="00483AD5"/>
    <w:rsid w:val="00483B3A"/>
    <w:rsid w:val="00484327"/>
    <w:rsid w:val="004846F5"/>
    <w:rsid w:val="004851D2"/>
    <w:rsid w:val="004864AE"/>
    <w:rsid w:val="004865CB"/>
    <w:rsid w:val="00486D06"/>
    <w:rsid w:val="004874FE"/>
    <w:rsid w:val="0048782E"/>
    <w:rsid w:val="00490054"/>
    <w:rsid w:val="004916BE"/>
    <w:rsid w:val="00491807"/>
    <w:rsid w:val="00491BA1"/>
    <w:rsid w:val="0049268F"/>
    <w:rsid w:val="0049384B"/>
    <w:rsid w:val="00493D7F"/>
    <w:rsid w:val="004944A2"/>
    <w:rsid w:val="004944DE"/>
    <w:rsid w:val="00495249"/>
    <w:rsid w:val="00495492"/>
    <w:rsid w:val="004954F8"/>
    <w:rsid w:val="00495BDC"/>
    <w:rsid w:val="00495FAF"/>
    <w:rsid w:val="00497168"/>
    <w:rsid w:val="0049774C"/>
    <w:rsid w:val="00497CFD"/>
    <w:rsid w:val="004A04B9"/>
    <w:rsid w:val="004A0DBF"/>
    <w:rsid w:val="004A1060"/>
    <w:rsid w:val="004A1101"/>
    <w:rsid w:val="004A11C4"/>
    <w:rsid w:val="004A248A"/>
    <w:rsid w:val="004A2943"/>
    <w:rsid w:val="004A373F"/>
    <w:rsid w:val="004A3A37"/>
    <w:rsid w:val="004A410B"/>
    <w:rsid w:val="004A457E"/>
    <w:rsid w:val="004A46AF"/>
    <w:rsid w:val="004A5B23"/>
    <w:rsid w:val="004A6C53"/>
    <w:rsid w:val="004A6F5C"/>
    <w:rsid w:val="004A7282"/>
    <w:rsid w:val="004A7609"/>
    <w:rsid w:val="004B08A3"/>
    <w:rsid w:val="004B0A37"/>
    <w:rsid w:val="004B116C"/>
    <w:rsid w:val="004B1899"/>
    <w:rsid w:val="004B20E7"/>
    <w:rsid w:val="004B21F3"/>
    <w:rsid w:val="004B3545"/>
    <w:rsid w:val="004B417B"/>
    <w:rsid w:val="004B4307"/>
    <w:rsid w:val="004B45F4"/>
    <w:rsid w:val="004B48DA"/>
    <w:rsid w:val="004B4CF8"/>
    <w:rsid w:val="004B4EDD"/>
    <w:rsid w:val="004B5137"/>
    <w:rsid w:val="004B57BC"/>
    <w:rsid w:val="004B597F"/>
    <w:rsid w:val="004B5D79"/>
    <w:rsid w:val="004B65A6"/>
    <w:rsid w:val="004B6B3F"/>
    <w:rsid w:val="004B6BEE"/>
    <w:rsid w:val="004B79BD"/>
    <w:rsid w:val="004C02D7"/>
    <w:rsid w:val="004C0441"/>
    <w:rsid w:val="004C0E72"/>
    <w:rsid w:val="004C0EA8"/>
    <w:rsid w:val="004C1D4D"/>
    <w:rsid w:val="004C243E"/>
    <w:rsid w:val="004C2773"/>
    <w:rsid w:val="004C33ED"/>
    <w:rsid w:val="004C34EE"/>
    <w:rsid w:val="004C4159"/>
    <w:rsid w:val="004C4278"/>
    <w:rsid w:val="004C4A33"/>
    <w:rsid w:val="004C4C1A"/>
    <w:rsid w:val="004C559A"/>
    <w:rsid w:val="004C568D"/>
    <w:rsid w:val="004C5995"/>
    <w:rsid w:val="004C5E49"/>
    <w:rsid w:val="004C5EBD"/>
    <w:rsid w:val="004C5FDD"/>
    <w:rsid w:val="004C6014"/>
    <w:rsid w:val="004C6101"/>
    <w:rsid w:val="004C6106"/>
    <w:rsid w:val="004C62A7"/>
    <w:rsid w:val="004C6866"/>
    <w:rsid w:val="004C6B00"/>
    <w:rsid w:val="004C71B0"/>
    <w:rsid w:val="004C73D6"/>
    <w:rsid w:val="004D0F99"/>
    <w:rsid w:val="004D10A8"/>
    <w:rsid w:val="004D1C61"/>
    <w:rsid w:val="004D2014"/>
    <w:rsid w:val="004D2ABB"/>
    <w:rsid w:val="004D2B29"/>
    <w:rsid w:val="004D2DB8"/>
    <w:rsid w:val="004D3529"/>
    <w:rsid w:val="004D3535"/>
    <w:rsid w:val="004D3CAF"/>
    <w:rsid w:val="004D491B"/>
    <w:rsid w:val="004D50BE"/>
    <w:rsid w:val="004D5199"/>
    <w:rsid w:val="004D52C2"/>
    <w:rsid w:val="004D530C"/>
    <w:rsid w:val="004D5A27"/>
    <w:rsid w:val="004D5AFC"/>
    <w:rsid w:val="004D5FEB"/>
    <w:rsid w:val="004D6018"/>
    <w:rsid w:val="004D62C5"/>
    <w:rsid w:val="004D6F89"/>
    <w:rsid w:val="004D7C6C"/>
    <w:rsid w:val="004E064F"/>
    <w:rsid w:val="004E0A6B"/>
    <w:rsid w:val="004E0BCB"/>
    <w:rsid w:val="004E1D11"/>
    <w:rsid w:val="004E1D58"/>
    <w:rsid w:val="004E20AB"/>
    <w:rsid w:val="004E20B0"/>
    <w:rsid w:val="004E22CE"/>
    <w:rsid w:val="004E2D26"/>
    <w:rsid w:val="004E40B3"/>
    <w:rsid w:val="004E468E"/>
    <w:rsid w:val="004E4A1B"/>
    <w:rsid w:val="004E6A19"/>
    <w:rsid w:val="004E6CDC"/>
    <w:rsid w:val="004E7DB6"/>
    <w:rsid w:val="004F0CDE"/>
    <w:rsid w:val="004F1241"/>
    <w:rsid w:val="004F1337"/>
    <w:rsid w:val="004F3209"/>
    <w:rsid w:val="004F3400"/>
    <w:rsid w:val="004F351F"/>
    <w:rsid w:val="004F3D27"/>
    <w:rsid w:val="004F435E"/>
    <w:rsid w:val="004F4A99"/>
    <w:rsid w:val="004F4B14"/>
    <w:rsid w:val="004F4E51"/>
    <w:rsid w:val="004F5069"/>
    <w:rsid w:val="004F5898"/>
    <w:rsid w:val="004F5A7D"/>
    <w:rsid w:val="004F60FA"/>
    <w:rsid w:val="004F61A6"/>
    <w:rsid w:val="004F63EE"/>
    <w:rsid w:val="004F66DA"/>
    <w:rsid w:val="004F68F3"/>
    <w:rsid w:val="004F6A04"/>
    <w:rsid w:val="004F6CC7"/>
    <w:rsid w:val="004F6F3B"/>
    <w:rsid w:val="004F7112"/>
    <w:rsid w:val="004F772A"/>
    <w:rsid w:val="004F7A2B"/>
    <w:rsid w:val="004F7B2B"/>
    <w:rsid w:val="004FB2D7"/>
    <w:rsid w:val="00500CB8"/>
    <w:rsid w:val="005014FD"/>
    <w:rsid w:val="00502503"/>
    <w:rsid w:val="00502F3B"/>
    <w:rsid w:val="00502FE7"/>
    <w:rsid w:val="00503A1F"/>
    <w:rsid w:val="00503C3A"/>
    <w:rsid w:val="00503C72"/>
    <w:rsid w:val="0050471A"/>
    <w:rsid w:val="00504721"/>
    <w:rsid w:val="005047D6"/>
    <w:rsid w:val="00505CE3"/>
    <w:rsid w:val="005062FE"/>
    <w:rsid w:val="0050689E"/>
    <w:rsid w:val="005075AD"/>
    <w:rsid w:val="005106DA"/>
    <w:rsid w:val="0051075F"/>
    <w:rsid w:val="00511C16"/>
    <w:rsid w:val="005120F5"/>
    <w:rsid w:val="00512C5C"/>
    <w:rsid w:val="00512F8C"/>
    <w:rsid w:val="0051327E"/>
    <w:rsid w:val="005134F4"/>
    <w:rsid w:val="0051380B"/>
    <w:rsid w:val="00513AAF"/>
    <w:rsid w:val="005140DC"/>
    <w:rsid w:val="00514D7F"/>
    <w:rsid w:val="00515136"/>
    <w:rsid w:val="00515184"/>
    <w:rsid w:val="005158D0"/>
    <w:rsid w:val="005161AE"/>
    <w:rsid w:val="00516482"/>
    <w:rsid w:val="00516975"/>
    <w:rsid w:val="00517B12"/>
    <w:rsid w:val="00517B71"/>
    <w:rsid w:val="0052067E"/>
    <w:rsid w:val="00520E0C"/>
    <w:rsid w:val="005214B4"/>
    <w:rsid w:val="00521A16"/>
    <w:rsid w:val="0052233F"/>
    <w:rsid w:val="00522736"/>
    <w:rsid w:val="00522AE6"/>
    <w:rsid w:val="005235FE"/>
    <w:rsid w:val="00523787"/>
    <w:rsid w:val="00523CE7"/>
    <w:rsid w:val="005246CB"/>
    <w:rsid w:val="0052498B"/>
    <w:rsid w:val="005254AD"/>
    <w:rsid w:val="00526F7A"/>
    <w:rsid w:val="00527252"/>
    <w:rsid w:val="005274C6"/>
    <w:rsid w:val="005279A8"/>
    <w:rsid w:val="005309D6"/>
    <w:rsid w:val="00530B91"/>
    <w:rsid w:val="00531134"/>
    <w:rsid w:val="00531605"/>
    <w:rsid w:val="00531775"/>
    <w:rsid w:val="005319F1"/>
    <w:rsid w:val="00531A1B"/>
    <w:rsid w:val="00531C1C"/>
    <w:rsid w:val="005320DD"/>
    <w:rsid w:val="00532160"/>
    <w:rsid w:val="005324A2"/>
    <w:rsid w:val="005324F7"/>
    <w:rsid w:val="005327FB"/>
    <w:rsid w:val="005328D1"/>
    <w:rsid w:val="00532A0D"/>
    <w:rsid w:val="00533498"/>
    <w:rsid w:val="00533856"/>
    <w:rsid w:val="0053396A"/>
    <w:rsid w:val="005339CB"/>
    <w:rsid w:val="00533A6D"/>
    <w:rsid w:val="005345A8"/>
    <w:rsid w:val="00534D0F"/>
    <w:rsid w:val="005350CF"/>
    <w:rsid w:val="00535756"/>
    <w:rsid w:val="00535855"/>
    <w:rsid w:val="00535921"/>
    <w:rsid w:val="005359AF"/>
    <w:rsid w:val="00535D27"/>
    <w:rsid w:val="00536E55"/>
    <w:rsid w:val="005375AE"/>
    <w:rsid w:val="0054068A"/>
    <w:rsid w:val="00540ED7"/>
    <w:rsid w:val="005410AE"/>
    <w:rsid w:val="0054212C"/>
    <w:rsid w:val="00542172"/>
    <w:rsid w:val="00542938"/>
    <w:rsid w:val="0054301B"/>
    <w:rsid w:val="0054365F"/>
    <w:rsid w:val="00543801"/>
    <w:rsid w:val="00544105"/>
    <w:rsid w:val="00544150"/>
    <w:rsid w:val="0054560E"/>
    <w:rsid w:val="0054589B"/>
    <w:rsid w:val="00546541"/>
    <w:rsid w:val="0054783A"/>
    <w:rsid w:val="005508A4"/>
    <w:rsid w:val="00551436"/>
    <w:rsid w:val="00551D84"/>
    <w:rsid w:val="0055211B"/>
    <w:rsid w:val="00552467"/>
    <w:rsid w:val="00552661"/>
    <w:rsid w:val="00553B0D"/>
    <w:rsid w:val="00553F43"/>
    <w:rsid w:val="00553FDF"/>
    <w:rsid w:val="0055434B"/>
    <w:rsid w:val="005545AD"/>
    <w:rsid w:val="005550F1"/>
    <w:rsid w:val="005552CF"/>
    <w:rsid w:val="005557B1"/>
    <w:rsid w:val="00555E80"/>
    <w:rsid w:val="00556387"/>
    <w:rsid w:val="00556800"/>
    <w:rsid w:val="00556A5C"/>
    <w:rsid w:val="0055705E"/>
    <w:rsid w:val="00557C2B"/>
    <w:rsid w:val="0056003E"/>
    <w:rsid w:val="00560291"/>
    <w:rsid w:val="00560D6E"/>
    <w:rsid w:val="0056173A"/>
    <w:rsid w:val="00561902"/>
    <w:rsid w:val="00561E3B"/>
    <w:rsid w:val="00562E1A"/>
    <w:rsid w:val="00562E4C"/>
    <w:rsid w:val="00563B92"/>
    <w:rsid w:val="00563EDA"/>
    <w:rsid w:val="005643D3"/>
    <w:rsid w:val="0056483F"/>
    <w:rsid w:val="0056556F"/>
    <w:rsid w:val="00566B7F"/>
    <w:rsid w:val="00566F3B"/>
    <w:rsid w:val="00567818"/>
    <w:rsid w:val="00567DFF"/>
    <w:rsid w:val="00570B19"/>
    <w:rsid w:val="005721EC"/>
    <w:rsid w:val="00572314"/>
    <w:rsid w:val="0057243A"/>
    <w:rsid w:val="0057296F"/>
    <w:rsid w:val="00573B2A"/>
    <w:rsid w:val="00573CAE"/>
    <w:rsid w:val="00573DCB"/>
    <w:rsid w:val="005744AD"/>
    <w:rsid w:val="00574D7D"/>
    <w:rsid w:val="005755B4"/>
    <w:rsid w:val="005756E7"/>
    <w:rsid w:val="00575C53"/>
    <w:rsid w:val="00575CBF"/>
    <w:rsid w:val="00575F3C"/>
    <w:rsid w:val="00575F71"/>
    <w:rsid w:val="00576AB0"/>
    <w:rsid w:val="00577058"/>
    <w:rsid w:val="00577757"/>
    <w:rsid w:val="005777C1"/>
    <w:rsid w:val="00577B2C"/>
    <w:rsid w:val="00577C82"/>
    <w:rsid w:val="0058057C"/>
    <w:rsid w:val="005806B0"/>
    <w:rsid w:val="00581401"/>
    <w:rsid w:val="00582520"/>
    <w:rsid w:val="00582D22"/>
    <w:rsid w:val="00582DE3"/>
    <w:rsid w:val="0058372B"/>
    <w:rsid w:val="005837AF"/>
    <w:rsid w:val="0058386F"/>
    <w:rsid w:val="00583ECA"/>
    <w:rsid w:val="0058446F"/>
    <w:rsid w:val="005851B4"/>
    <w:rsid w:val="0058530A"/>
    <w:rsid w:val="00585B92"/>
    <w:rsid w:val="0058612C"/>
    <w:rsid w:val="005866B8"/>
    <w:rsid w:val="00586735"/>
    <w:rsid w:val="00586C8E"/>
    <w:rsid w:val="00586E48"/>
    <w:rsid w:val="00587774"/>
    <w:rsid w:val="00587BBF"/>
    <w:rsid w:val="00590631"/>
    <w:rsid w:val="00590976"/>
    <w:rsid w:val="005909E3"/>
    <w:rsid w:val="00591475"/>
    <w:rsid w:val="0059163F"/>
    <w:rsid w:val="0059174E"/>
    <w:rsid w:val="005918DF"/>
    <w:rsid w:val="005923F4"/>
    <w:rsid w:val="00592C41"/>
    <w:rsid w:val="00593168"/>
    <w:rsid w:val="0059407E"/>
    <w:rsid w:val="005940BC"/>
    <w:rsid w:val="00594EFC"/>
    <w:rsid w:val="00595578"/>
    <w:rsid w:val="00595C6F"/>
    <w:rsid w:val="00597060"/>
    <w:rsid w:val="00597287"/>
    <w:rsid w:val="00597350"/>
    <w:rsid w:val="00597AB8"/>
    <w:rsid w:val="00597ED7"/>
    <w:rsid w:val="005A065B"/>
    <w:rsid w:val="005A0722"/>
    <w:rsid w:val="005A0A56"/>
    <w:rsid w:val="005A17C1"/>
    <w:rsid w:val="005A1ABB"/>
    <w:rsid w:val="005A1B35"/>
    <w:rsid w:val="005A1B3E"/>
    <w:rsid w:val="005A1C12"/>
    <w:rsid w:val="005A20DD"/>
    <w:rsid w:val="005A27D1"/>
    <w:rsid w:val="005A2874"/>
    <w:rsid w:val="005A2965"/>
    <w:rsid w:val="005A2CE4"/>
    <w:rsid w:val="005A2FAF"/>
    <w:rsid w:val="005A2FE2"/>
    <w:rsid w:val="005A325D"/>
    <w:rsid w:val="005A36A8"/>
    <w:rsid w:val="005A3AC2"/>
    <w:rsid w:val="005A3F45"/>
    <w:rsid w:val="005A5059"/>
    <w:rsid w:val="005A5683"/>
    <w:rsid w:val="005A5984"/>
    <w:rsid w:val="005A5C85"/>
    <w:rsid w:val="005A609C"/>
    <w:rsid w:val="005A6791"/>
    <w:rsid w:val="005A67C8"/>
    <w:rsid w:val="005A6E61"/>
    <w:rsid w:val="005A7906"/>
    <w:rsid w:val="005A7A36"/>
    <w:rsid w:val="005A7A60"/>
    <w:rsid w:val="005A7C5D"/>
    <w:rsid w:val="005A7D01"/>
    <w:rsid w:val="005A7FB6"/>
    <w:rsid w:val="005A7FD5"/>
    <w:rsid w:val="005B0E91"/>
    <w:rsid w:val="005B1142"/>
    <w:rsid w:val="005B137D"/>
    <w:rsid w:val="005B1A2F"/>
    <w:rsid w:val="005B1CFA"/>
    <w:rsid w:val="005B1D75"/>
    <w:rsid w:val="005B2AC9"/>
    <w:rsid w:val="005B2B3E"/>
    <w:rsid w:val="005B327C"/>
    <w:rsid w:val="005B32EB"/>
    <w:rsid w:val="005B35B6"/>
    <w:rsid w:val="005B35FE"/>
    <w:rsid w:val="005B3700"/>
    <w:rsid w:val="005B3845"/>
    <w:rsid w:val="005B39A2"/>
    <w:rsid w:val="005B3FF7"/>
    <w:rsid w:val="005B43B5"/>
    <w:rsid w:val="005B4741"/>
    <w:rsid w:val="005B4ACD"/>
    <w:rsid w:val="005B5A6C"/>
    <w:rsid w:val="005B5D3E"/>
    <w:rsid w:val="005B617F"/>
    <w:rsid w:val="005B63C5"/>
    <w:rsid w:val="005B6D2E"/>
    <w:rsid w:val="005B6DC2"/>
    <w:rsid w:val="005B6DF0"/>
    <w:rsid w:val="005B79E2"/>
    <w:rsid w:val="005C0011"/>
    <w:rsid w:val="005C0DBB"/>
    <w:rsid w:val="005C1198"/>
    <w:rsid w:val="005C1223"/>
    <w:rsid w:val="005C192C"/>
    <w:rsid w:val="005C1AE3"/>
    <w:rsid w:val="005C1C6B"/>
    <w:rsid w:val="005C218E"/>
    <w:rsid w:val="005C22A0"/>
    <w:rsid w:val="005C23BF"/>
    <w:rsid w:val="005C31BF"/>
    <w:rsid w:val="005C31C4"/>
    <w:rsid w:val="005C3AB1"/>
    <w:rsid w:val="005C3BE9"/>
    <w:rsid w:val="005C3F9D"/>
    <w:rsid w:val="005C4CA0"/>
    <w:rsid w:val="005C4D78"/>
    <w:rsid w:val="005C50E1"/>
    <w:rsid w:val="005C53F1"/>
    <w:rsid w:val="005C6489"/>
    <w:rsid w:val="005C6F68"/>
    <w:rsid w:val="005C6F74"/>
    <w:rsid w:val="005C7953"/>
    <w:rsid w:val="005D0446"/>
    <w:rsid w:val="005D06D5"/>
    <w:rsid w:val="005D0E6D"/>
    <w:rsid w:val="005D1785"/>
    <w:rsid w:val="005D198C"/>
    <w:rsid w:val="005D1F22"/>
    <w:rsid w:val="005D2188"/>
    <w:rsid w:val="005D2312"/>
    <w:rsid w:val="005D2A06"/>
    <w:rsid w:val="005D3714"/>
    <w:rsid w:val="005D3ADD"/>
    <w:rsid w:val="005D3CF7"/>
    <w:rsid w:val="005D4F79"/>
    <w:rsid w:val="005D5013"/>
    <w:rsid w:val="005D5187"/>
    <w:rsid w:val="005D59F2"/>
    <w:rsid w:val="005D6701"/>
    <w:rsid w:val="005D6ACD"/>
    <w:rsid w:val="005D6D01"/>
    <w:rsid w:val="005D7394"/>
    <w:rsid w:val="005D769A"/>
    <w:rsid w:val="005E007E"/>
    <w:rsid w:val="005E0419"/>
    <w:rsid w:val="005E06CF"/>
    <w:rsid w:val="005E0A8F"/>
    <w:rsid w:val="005E10E8"/>
    <w:rsid w:val="005E12CA"/>
    <w:rsid w:val="005E2935"/>
    <w:rsid w:val="005E298A"/>
    <w:rsid w:val="005E3051"/>
    <w:rsid w:val="005E339F"/>
    <w:rsid w:val="005E38CC"/>
    <w:rsid w:val="005E418E"/>
    <w:rsid w:val="005E45D1"/>
    <w:rsid w:val="005E4714"/>
    <w:rsid w:val="005E4833"/>
    <w:rsid w:val="005E548C"/>
    <w:rsid w:val="005E5CBF"/>
    <w:rsid w:val="005E5F36"/>
    <w:rsid w:val="005E6532"/>
    <w:rsid w:val="005E6809"/>
    <w:rsid w:val="005E6EA9"/>
    <w:rsid w:val="005E776A"/>
    <w:rsid w:val="005E77F9"/>
    <w:rsid w:val="005F0241"/>
    <w:rsid w:val="005F1631"/>
    <w:rsid w:val="005F1BE1"/>
    <w:rsid w:val="005F20AE"/>
    <w:rsid w:val="005F2920"/>
    <w:rsid w:val="005F2E45"/>
    <w:rsid w:val="005F36B0"/>
    <w:rsid w:val="005F3978"/>
    <w:rsid w:val="005F399C"/>
    <w:rsid w:val="005F3F65"/>
    <w:rsid w:val="005F41F0"/>
    <w:rsid w:val="005F4C83"/>
    <w:rsid w:val="005F4DF7"/>
    <w:rsid w:val="005F513F"/>
    <w:rsid w:val="005F53A5"/>
    <w:rsid w:val="005F5945"/>
    <w:rsid w:val="005F5D68"/>
    <w:rsid w:val="005F61F9"/>
    <w:rsid w:val="005F62E5"/>
    <w:rsid w:val="005F76FD"/>
    <w:rsid w:val="00600519"/>
    <w:rsid w:val="00600537"/>
    <w:rsid w:val="00600805"/>
    <w:rsid w:val="00600A44"/>
    <w:rsid w:val="00600F02"/>
    <w:rsid w:val="00600F33"/>
    <w:rsid w:val="006014BF"/>
    <w:rsid w:val="00601797"/>
    <w:rsid w:val="0060275D"/>
    <w:rsid w:val="00603041"/>
    <w:rsid w:val="006030B1"/>
    <w:rsid w:val="0060318E"/>
    <w:rsid w:val="00603326"/>
    <w:rsid w:val="006035F1"/>
    <w:rsid w:val="00603C48"/>
    <w:rsid w:val="00604594"/>
    <w:rsid w:val="00604B85"/>
    <w:rsid w:val="006051BA"/>
    <w:rsid w:val="00605B74"/>
    <w:rsid w:val="00607047"/>
    <w:rsid w:val="00607378"/>
    <w:rsid w:val="006073E0"/>
    <w:rsid w:val="00610664"/>
    <w:rsid w:val="00610717"/>
    <w:rsid w:val="006116F8"/>
    <w:rsid w:val="00611FC7"/>
    <w:rsid w:val="00612756"/>
    <w:rsid w:val="006128C4"/>
    <w:rsid w:val="00613328"/>
    <w:rsid w:val="0061367A"/>
    <w:rsid w:val="00613C77"/>
    <w:rsid w:val="006142DD"/>
    <w:rsid w:val="00614339"/>
    <w:rsid w:val="006147FF"/>
    <w:rsid w:val="00615134"/>
    <w:rsid w:val="00615719"/>
    <w:rsid w:val="00615BAB"/>
    <w:rsid w:val="00615BAE"/>
    <w:rsid w:val="006168CD"/>
    <w:rsid w:val="00616BB7"/>
    <w:rsid w:val="00616E7D"/>
    <w:rsid w:val="0061704C"/>
    <w:rsid w:val="006200C4"/>
    <w:rsid w:val="0062085F"/>
    <w:rsid w:val="0062086F"/>
    <w:rsid w:val="006208A4"/>
    <w:rsid w:val="006209DB"/>
    <w:rsid w:val="00622403"/>
    <w:rsid w:val="00622486"/>
    <w:rsid w:val="006225BD"/>
    <w:rsid w:val="00622F1B"/>
    <w:rsid w:val="00622F52"/>
    <w:rsid w:val="006231F7"/>
    <w:rsid w:val="00623B8E"/>
    <w:rsid w:val="00623F28"/>
    <w:rsid w:val="00624022"/>
    <w:rsid w:val="00624324"/>
    <w:rsid w:val="00624554"/>
    <w:rsid w:val="006246B8"/>
    <w:rsid w:val="006247C3"/>
    <w:rsid w:val="0062480A"/>
    <w:rsid w:val="00624928"/>
    <w:rsid w:val="006251D1"/>
    <w:rsid w:val="00625441"/>
    <w:rsid w:val="00625DBE"/>
    <w:rsid w:val="0062613B"/>
    <w:rsid w:val="0062661C"/>
    <w:rsid w:val="00626B7F"/>
    <w:rsid w:val="006275FC"/>
    <w:rsid w:val="00627BEC"/>
    <w:rsid w:val="00627EB2"/>
    <w:rsid w:val="0063057A"/>
    <w:rsid w:val="0063110F"/>
    <w:rsid w:val="0063128E"/>
    <w:rsid w:val="00632AD7"/>
    <w:rsid w:val="00633095"/>
    <w:rsid w:val="00633364"/>
    <w:rsid w:val="006337F5"/>
    <w:rsid w:val="006338CE"/>
    <w:rsid w:val="006339AC"/>
    <w:rsid w:val="00633C78"/>
    <w:rsid w:val="00634247"/>
    <w:rsid w:val="00635033"/>
    <w:rsid w:val="006351AF"/>
    <w:rsid w:val="00636106"/>
    <w:rsid w:val="00636343"/>
    <w:rsid w:val="00636A01"/>
    <w:rsid w:val="00637ECC"/>
    <w:rsid w:val="0064034A"/>
    <w:rsid w:val="0064038A"/>
    <w:rsid w:val="00640B4D"/>
    <w:rsid w:val="00640F44"/>
    <w:rsid w:val="006420D7"/>
    <w:rsid w:val="006422AB"/>
    <w:rsid w:val="00642321"/>
    <w:rsid w:val="006427E0"/>
    <w:rsid w:val="00642E9F"/>
    <w:rsid w:val="0064334D"/>
    <w:rsid w:val="006433F2"/>
    <w:rsid w:val="006438F5"/>
    <w:rsid w:val="00643FD2"/>
    <w:rsid w:val="006441E1"/>
    <w:rsid w:val="00644AD5"/>
    <w:rsid w:val="00645250"/>
    <w:rsid w:val="006452C0"/>
    <w:rsid w:val="00645450"/>
    <w:rsid w:val="0064560A"/>
    <w:rsid w:val="00645ADC"/>
    <w:rsid w:val="00645BD0"/>
    <w:rsid w:val="00646164"/>
    <w:rsid w:val="0064638F"/>
    <w:rsid w:val="006469C5"/>
    <w:rsid w:val="00646B97"/>
    <w:rsid w:val="00646EDF"/>
    <w:rsid w:val="006478C8"/>
    <w:rsid w:val="006514DF"/>
    <w:rsid w:val="00651CBC"/>
    <w:rsid w:val="00651D7E"/>
    <w:rsid w:val="006520C7"/>
    <w:rsid w:val="006526EA"/>
    <w:rsid w:val="00652E9A"/>
    <w:rsid w:val="006533E2"/>
    <w:rsid w:val="006540D2"/>
    <w:rsid w:val="00654F35"/>
    <w:rsid w:val="0065519B"/>
    <w:rsid w:val="006551FE"/>
    <w:rsid w:val="00655694"/>
    <w:rsid w:val="006556A1"/>
    <w:rsid w:val="00655F39"/>
    <w:rsid w:val="0065634C"/>
    <w:rsid w:val="00656CCA"/>
    <w:rsid w:val="00656F9E"/>
    <w:rsid w:val="00657DE6"/>
    <w:rsid w:val="006603AB"/>
    <w:rsid w:val="006607B8"/>
    <w:rsid w:val="006612E4"/>
    <w:rsid w:val="00661340"/>
    <w:rsid w:val="00662245"/>
    <w:rsid w:val="006624CB"/>
    <w:rsid w:val="00662B74"/>
    <w:rsid w:val="006632A3"/>
    <w:rsid w:val="0066361A"/>
    <w:rsid w:val="006639F5"/>
    <w:rsid w:val="006643F5"/>
    <w:rsid w:val="0066453A"/>
    <w:rsid w:val="0066474F"/>
    <w:rsid w:val="006648B3"/>
    <w:rsid w:val="006659C8"/>
    <w:rsid w:val="00665D4B"/>
    <w:rsid w:val="006662C6"/>
    <w:rsid w:val="00666744"/>
    <w:rsid w:val="00667758"/>
    <w:rsid w:val="00670AE1"/>
    <w:rsid w:val="00670AF4"/>
    <w:rsid w:val="00670CA8"/>
    <w:rsid w:val="00671914"/>
    <w:rsid w:val="006723CF"/>
    <w:rsid w:val="00672DC8"/>
    <w:rsid w:val="0067423A"/>
    <w:rsid w:val="0067546D"/>
    <w:rsid w:val="006757B4"/>
    <w:rsid w:val="00675BBE"/>
    <w:rsid w:val="006760B4"/>
    <w:rsid w:val="006760E6"/>
    <w:rsid w:val="0067616B"/>
    <w:rsid w:val="006767C0"/>
    <w:rsid w:val="006771AC"/>
    <w:rsid w:val="00677923"/>
    <w:rsid w:val="00677A28"/>
    <w:rsid w:val="00677B4C"/>
    <w:rsid w:val="00681684"/>
    <w:rsid w:val="0068170C"/>
    <w:rsid w:val="0068217F"/>
    <w:rsid w:val="00682590"/>
    <w:rsid w:val="00682969"/>
    <w:rsid w:val="00682F90"/>
    <w:rsid w:val="006833FC"/>
    <w:rsid w:val="006837A4"/>
    <w:rsid w:val="00683A30"/>
    <w:rsid w:val="006855CD"/>
    <w:rsid w:val="00685625"/>
    <w:rsid w:val="00685EAC"/>
    <w:rsid w:val="0068686C"/>
    <w:rsid w:val="00687BB8"/>
    <w:rsid w:val="00687C79"/>
    <w:rsid w:val="006901B5"/>
    <w:rsid w:val="006901F4"/>
    <w:rsid w:val="006909F9"/>
    <w:rsid w:val="006911D9"/>
    <w:rsid w:val="006915FF"/>
    <w:rsid w:val="006918E9"/>
    <w:rsid w:val="00691DE0"/>
    <w:rsid w:val="006920F0"/>
    <w:rsid w:val="00692420"/>
    <w:rsid w:val="00692C83"/>
    <w:rsid w:val="00693324"/>
    <w:rsid w:val="006934B8"/>
    <w:rsid w:val="00693D76"/>
    <w:rsid w:val="006952EC"/>
    <w:rsid w:val="00695323"/>
    <w:rsid w:val="00695456"/>
    <w:rsid w:val="00695B53"/>
    <w:rsid w:val="00695BD5"/>
    <w:rsid w:val="00695E2C"/>
    <w:rsid w:val="0069688D"/>
    <w:rsid w:val="00696975"/>
    <w:rsid w:val="00696AB1"/>
    <w:rsid w:val="00696D86"/>
    <w:rsid w:val="0069710B"/>
    <w:rsid w:val="00697B15"/>
    <w:rsid w:val="006A003D"/>
    <w:rsid w:val="006A06F8"/>
    <w:rsid w:val="006A21D9"/>
    <w:rsid w:val="006A2478"/>
    <w:rsid w:val="006A29EA"/>
    <w:rsid w:val="006A2AAF"/>
    <w:rsid w:val="006A2D94"/>
    <w:rsid w:val="006A326C"/>
    <w:rsid w:val="006A3824"/>
    <w:rsid w:val="006A3A79"/>
    <w:rsid w:val="006A3F45"/>
    <w:rsid w:val="006A4286"/>
    <w:rsid w:val="006A4830"/>
    <w:rsid w:val="006A4887"/>
    <w:rsid w:val="006A66FA"/>
    <w:rsid w:val="006A6D31"/>
    <w:rsid w:val="006A724F"/>
    <w:rsid w:val="006A7358"/>
    <w:rsid w:val="006A7B07"/>
    <w:rsid w:val="006B0E54"/>
    <w:rsid w:val="006B1863"/>
    <w:rsid w:val="006B19BA"/>
    <w:rsid w:val="006B1A2A"/>
    <w:rsid w:val="006B20C8"/>
    <w:rsid w:val="006B24A4"/>
    <w:rsid w:val="006B2792"/>
    <w:rsid w:val="006B3F1C"/>
    <w:rsid w:val="006B3F9A"/>
    <w:rsid w:val="006B53B5"/>
    <w:rsid w:val="006B7494"/>
    <w:rsid w:val="006B79E0"/>
    <w:rsid w:val="006C00BD"/>
    <w:rsid w:val="006C04E3"/>
    <w:rsid w:val="006C0890"/>
    <w:rsid w:val="006C0B09"/>
    <w:rsid w:val="006C19AF"/>
    <w:rsid w:val="006C2128"/>
    <w:rsid w:val="006C28CB"/>
    <w:rsid w:val="006C2FBC"/>
    <w:rsid w:val="006C30AC"/>
    <w:rsid w:val="006C3100"/>
    <w:rsid w:val="006C3B7C"/>
    <w:rsid w:val="006C3E7D"/>
    <w:rsid w:val="006C416A"/>
    <w:rsid w:val="006C4493"/>
    <w:rsid w:val="006C4724"/>
    <w:rsid w:val="006C479F"/>
    <w:rsid w:val="006C4B3A"/>
    <w:rsid w:val="006C4F64"/>
    <w:rsid w:val="006C5190"/>
    <w:rsid w:val="006C574F"/>
    <w:rsid w:val="006C5B13"/>
    <w:rsid w:val="006C61CB"/>
    <w:rsid w:val="006C688F"/>
    <w:rsid w:val="006C770F"/>
    <w:rsid w:val="006C793E"/>
    <w:rsid w:val="006C7A24"/>
    <w:rsid w:val="006C7AF7"/>
    <w:rsid w:val="006C7B22"/>
    <w:rsid w:val="006C7DD0"/>
    <w:rsid w:val="006D07B8"/>
    <w:rsid w:val="006D0C9C"/>
    <w:rsid w:val="006D136A"/>
    <w:rsid w:val="006D21D7"/>
    <w:rsid w:val="006D246E"/>
    <w:rsid w:val="006D265A"/>
    <w:rsid w:val="006D2F34"/>
    <w:rsid w:val="006D3452"/>
    <w:rsid w:val="006D3525"/>
    <w:rsid w:val="006D3770"/>
    <w:rsid w:val="006D3903"/>
    <w:rsid w:val="006D3CF7"/>
    <w:rsid w:val="006D3D10"/>
    <w:rsid w:val="006D424E"/>
    <w:rsid w:val="006D468C"/>
    <w:rsid w:val="006D4736"/>
    <w:rsid w:val="006D5A30"/>
    <w:rsid w:val="006D5B47"/>
    <w:rsid w:val="006D6229"/>
    <w:rsid w:val="006D645E"/>
    <w:rsid w:val="006D64E8"/>
    <w:rsid w:val="006D6DD8"/>
    <w:rsid w:val="006DE8CC"/>
    <w:rsid w:val="006E0724"/>
    <w:rsid w:val="006E0AC6"/>
    <w:rsid w:val="006E0DB9"/>
    <w:rsid w:val="006E0EA0"/>
    <w:rsid w:val="006E115A"/>
    <w:rsid w:val="006E1ED2"/>
    <w:rsid w:val="006E286C"/>
    <w:rsid w:val="006E30F6"/>
    <w:rsid w:val="006E3950"/>
    <w:rsid w:val="006E4327"/>
    <w:rsid w:val="006E4E3B"/>
    <w:rsid w:val="006E5510"/>
    <w:rsid w:val="006E594B"/>
    <w:rsid w:val="006E5D7F"/>
    <w:rsid w:val="006E60D1"/>
    <w:rsid w:val="006E6967"/>
    <w:rsid w:val="006E7181"/>
    <w:rsid w:val="006E74AD"/>
    <w:rsid w:val="006E768B"/>
    <w:rsid w:val="006F0435"/>
    <w:rsid w:val="006F044E"/>
    <w:rsid w:val="006F0B38"/>
    <w:rsid w:val="006F0C29"/>
    <w:rsid w:val="006F12CB"/>
    <w:rsid w:val="006F13D0"/>
    <w:rsid w:val="006F1A18"/>
    <w:rsid w:val="006F1D2F"/>
    <w:rsid w:val="006F2E22"/>
    <w:rsid w:val="006F2F36"/>
    <w:rsid w:val="006F3751"/>
    <w:rsid w:val="006F3B8F"/>
    <w:rsid w:val="006F3C4F"/>
    <w:rsid w:val="006F3FF8"/>
    <w:rsid w:val="006F54B1"/>
    <w:rsid w:val="006F5533"/>
    <w:rsid w:val="006F5719"/>
    <w:rsid w:val="006F5C64"/>
    <w:rsid w:val="006F5D2E"/>
    <w:rsid w:val="006F6F1C"/>
    <w:rsid w:val="006F6F81"/>
    <w:rsid w:val="006F757C"/>
    <w:rsid w:val="006F7869"/>
    <w:rsid w:val="006F7CC0"/>
    <w:rsid w:val="00700035"/>
    <w:rsid w:val="0070043C"/>
    <w:rsid w:val="007019F7"/>
    <w:rsid w:val="00701A5D"/>
    <w:rsid w:val="007026AF"/>
    <w:rsid w:val="00702925"/>
    <w:rsid w:val="00702B16"/>
    <w:rsid w:val="00703340"/>
    <w:rsid w:val="007038AE"/>
    <w:rsid w:val="00703901"/>
    <w:rsid w:val="00704B9D"/>
    <w:rsid w:val="00704F79"/>
    <w:rsid w:val="00705145"/>
    <w:rsid w:val="00705D15"/>
    <w:rsid w:val="007061B0"/>
    <w:rsid w:val="0070698F"/>
    <w:rsid w:val="00706D15"/>
    <w:rsid w:val="00707409"/>
    <w:rsid w:val="0070744C"/>
    <w:rsid w:val="00707613"/>
    <w:rsid w:val="00707A5F"/>
    <w:rsid w:val="00707DCB"/>
    <w:rsid w:val="00707EE7"/>
    <w:rsid w:val="00710204"/>
    <w:rsid w:val="0071034E"/>
    <w:rsid w:val="007104AF"/>
    <w:rsid w:val="007124BD"/>
    <w:rsid w:val="0071277C"/>
    <w:rsid w:val="007127AA"/>
    <w:rsid w:val="00712E3A"/>
    <w:rsid w:val="00713555"/>
    <w:rsid w:val="007136F4"/>
    <w:rsid w:val="00713787"/>
    <w:rsid w:val="00714043"/>
    <w:rsid w:val="00714047"/>
    <w:rsid w:val="00714223"/>
    <w:rsid w:val="0071430A"/>
    <w:rsid w:val="00714631"/>
    <w:rsid w:val="00714A34"/>
    <w:rsid w:val="00714BDF"/>
    <w:rsid w:val="00714E0C"/>
    <w:rsid w:val="007155C7"/>
    <w:rsid w:val="0071573C"/>
    <w:rsid w:val="0071608B"/>
    <w:rsid w:val="007166B1"/>
    <w:rsid w:val="00716AB3"/>
    <w:rsid w:val="007171FD"/>
    <w:rsid w:val="0071743E"/>
    <w:rsid w:val="007176F6"/>
    <w:rsid w:val="0072049A"/>
    <w:rsid w:val="00720546"/>
    <w:rsid w:val="0072073C"/>
    <w:rsid w:val="00720BB0"/>
    <w:rsid w:val="00720DA4"/>
    <w:rsid w:val="00721022"/>
    <w:rsid w:val="00721218"/>
    <w:rsid w:val="007213F5"/>
    <w:rsid w:val="007214A8"/>
    <w:rsid w:val="007218D1"/>
    <w:rsid w:val="00722855"/>
    <w:rsid w:val="007230CE"/>
    <w:rsid w:val="007233A2"/>
    <w:rsid w:val="0072341C"/>
    <w:rsid w:val="00723B9A"/>
    <w:rsid w:val="007241E1"/>
    <w:rsid w:val="00725930"/>
    <w:rsid w:val="0072597D"/>
    <w:rsid w:val="00725C5B"/>
    <w:rsid w:val="007262F1"/>
    <w:rsid w:val="00726CB4"/>
    <w:rsid w:val="00726D53"/>
    <w:rsid w:val="00726FFD"/>
    <w:rsid w:val="007275BF"/>
    <w:rsid w:val="0072778A"/>
    <w:rsid w:val="00727FCF"/>
    <w:rsid w:val="00731DDE"/>
    <w:rsid w:val="00731F6C"/>
    <w:rsid w:val="00732581"/>
    <w:rsid w:val="007327E9"/>
    <w:rsid w:val="007328E2"/>
    <w:rsid w:val="007328FF"/>
    <w:rsid w:val="00732AA8"/>
    <w:rsid w:val="00732BF8"/>
    <w:rsid w:val="00732FE4"/>
    <w:rsid w:val="0073328D"/>
    <w:rsid w:val="007332CD"/>
    <w:rsid w:val="007333A6"/>
    <w:rsid w:val="00733B95"/>
    <w:rsid w:val="00733D39"/>
    <w:rsid w:val="00733E59"/>
    <w:rsid w:val="00734093"/>
    <w:rsid w:val="007342FC"/>
    <w:rsid w:val="0073436B"/>
    <w:rsid w:val="007343DA"/>
    <w:rsid w:val="00734A1B"/>
    <w:rsid w:val="00734DDD"/>
    <w:rsid w:val="00735748"/>
    <w:rsid w:val="00735B0F"/>
    <w:rsid w:val="007361B4"/>
    <w:rsid w:val="007362A8"/>
    <w:rsid w:val="00736504"/>
    <w:rsid w:val="00737168"/>
    <w:rsid w:val="007378FC"/>
    <w:rsid w:val="00737C89"/>
    <w:rsid w:val="00740BFB"/>
    <w:rsid w:val="00740DE9"/>
    <w:rsid w:val="00741536"/>
    <w:rsid w:val="00741587"/>
    <w:rsid w:val="0074183B"/>
    <w:rsid w:val="00742353"/>
    <w:rsid w:val="00742A23"/>
    <w:rsid w:val="00742D85"/>
    <w:rsid w:val="00742D9A"/>
    <w:rsid w:val="00742F05"/>
    <w:rsid w:val="00742F46"/>
    <w:rsid w:val="0074329E"/>
    <w:rsid w:val="00743303"/>
    <w:rsid w:val="007438FD"/>
    <w:rsid w:val="0074403A"/>
    <w:rsid w:val="00744780"/>
    <w:rsid w:val="007459F3"/>
    <w:rsid w:val="00745DBD"/>
    <w:rsid w:val="007461ED"/>
    <w:rsid w:val="007475CC"/>
    <w:rsid w:val="00750275"/>
    <w:rsid w:val="007502A4"/>
    <w:rsid w:val="00750656"/>
    <w:rsid w:val="007507E2"/>
    <w:rsid w:val="00750CBA"/>
    <w:rsid w:val="00750E37"/>
    <w:rsid w:val="00751570"/>
    <w:rsid w:val="00751B12"/>
    <w:rsid w:val="0075308B"/>
    <w:rsid w:val="007533C1"/>
    <w:rsid w:val="00753597"/>
    <w:rsid w:val="007544D4"/>
    <w:rsid w:val="0075566C"/>
    <w:rsid w:val="007556E3"/>
    <w:rsid w:val="00755790"/>
    <w:rsid w:val="00755BFD"/>
    <w:rsid w:val="00755D5C"/>
    <w:rsid w:val="0075655C"/>
    <w:rsid w:val="00756A3F"/>
    <w:rsid w:val="007572A9"/>
    <w:rsid w:val="007609CA"/>
    <w:rsid w:val="00760B4A"/>
    <w:rsid w:val="00760DF8"/>
    <w:rsid w:val="007616D1"/>
    <w:rsid w:val="00761C7D"/>
    <w:rsid w:val="00761E42"/>
    <w:rsid w:val="00762C77"/>
    <w:rsid w:val="00763ACC"/>
    <w:rsid w:val="00763CC8"/>
    <w:rsid w:val="00763FA7"/>
    <w:rsid w:val="00764500"/>
    <w:rsid w:val="00764D0B"/>
    <w:rsid w:val="00764F8D"/>
    <w:rsid w:val="00766487"/>
    <w:rsid w:val="007665AF"/>
    <w:rsid w:val="00766863"/>
    <w:rsid w:val="00766D46"/>
    <w:rsid w:val="00766EE5"/>
    <w:rsid w:val="00767722"/>
    <w:rsid w:val="00770178"/>
    <w:rsid w:val="007703AD"/>
    <w:rsid w:val="00770440"/>
    <w:rsid w:val="00770700"/>
    <w:rsid w:val="007710F2"/>
    <w:rsid w:val="00771867"/>
    <w:rsid w:val="0077210A"/>
    <w:rsid w:val="00772C92"/>
    <w:rsid w:val="007738DB"/>
    <w:rsid w:val="00773F74"/>
    <w:rsid w:val="00774380"/>
    <w:rsid w:val="00774412"/>
    <w:rsid w:val="007744C9"/>
    <w:rsid w:val="007746F4"/>
    <w:rsid w:val="00774A61"/>
    <w:rsid w:val="00775372"/>
    <w:rsid w:val="0077615C"/>
    <w:rsid w:val="007764D4"/>
    <w:rsid w:val="0077660B"/>
    <w:rsid w:val="00776B92"/>
    <w:rsid w:val="007770B4"/>
    <w:rsid w:val="007776A9"/>
    <w:rsid w:val="00777D0D"/>
    <w:rsid w:val="00777FFA"/>
    <w:rsid w:val="00780649"/>
    <w:rsid w:val="0078157D"/>
    <w:rsid w:val="0078181A"/>
    <w:rsid w:val="00782103"/>
    <w:rsid w:val="0078210C"/>
    <w:rsid w:val="007824E3"/>
    <w:rsid w:val="00783326"/>
    <w:rsid w:val="007838B4"/>
    <w:rsid w:val="00784061"/>
    <w:rsid w:val="0078505F"/>
    <w:rsid w:val="00785835"/>
    <w:rsid w:val="0078585B"/>
    <w:rsid w:val="00785EC0"/>
    <w:rsid w:val="0078656B"/>
    <w:rsid w:val="007865C8"/>
    <w:rsid w:val="007867AF"/>
    <w:rsid w:val="00786AA2"/>
    <w:rsid w:val="00786E80"/>
    <w:rsid w:val="007873C6"/>
    <w:rsid w:val="00787937"/>
    <w:rsid w:val="00790131"/>
    <w:rsid w:val="00790379"/>
    <w:rsid w:val="007906F1"/>
    <w:rsid w:val="007907A7"/>
    <w:rsid w:val="007908D9"/>
    <w:rsid w:val="007910A6"/>
    <w:rsid w:val="007919C4"/>
    <w:rsid w:val="00791AB1"/>
    <w:rsid w:val="0079229B"/>
    <w:rsid w:val="007926F0"/>
    <w:rsid w:val="00793B0B"/>
    <w:rsid w:val="00794411"/>
    <w:rsid w:val="00794718"/>
    <w:rsid w:val="007947DA"/>
    <w:rsid w:val="0079490E"/>
    <w:rsid w:val="00794BBC"/>
    <w:rsid w:val="00795110"/>
    <w:rsid w:val="007952B1"/>
    <w:rsid w:val="00795307"/>
    <w:rsid w:val="00795986"/>
    <w:rsid w:val="00795DE4"/>
    <w:rsid w:val="00795FDE"/>
    <w:rsid w:val="007975B0"/>
    <w:rsid w:val="00797A29"/>
    <w:rsid w:val="00797B29"/>
    <w:rsid w:val="007A0904"/>
    <w:rsid w:val="007A0A35"/>
    <w:rsid w:val="007A0C2D"/>
    <w:rsid w:val="007A1288"/>
    <w:rsid w:val="007A1373"/>
    <w:rsid w:val="007A13E0"/>
    <w:rsid w:val="007A1550"/>
    <w:rsid w:val="007A214C"/>
    <w:rsid w:val="007A2C46"/>
    <w:rsid w:val="007A2D48"/>
    <w:rsid w:val="007A370B"/>
    <w:rsid w:val="007A3C83"/>
    <w:rsid w:val="007A4615"/>
    <w:rsid w:val="007A4AB5"/>
    <w:rsid w:val="007A5019"/>
    <w:rsid w:val="007A568C"/>
    <w:rsid w:val="007A5EED"/>
    <w:rsid w:val="007A608E"/>
    <w:rsid w:val="007A6E1D"/>
    <w:rsid w:val="007A6FA8"/>
    <w:rsid w:val="007A718F"/>
    <w:rsid w:val="007A729A"/>
    <w:rsid w:val="007A7737"/>
    <w:rsid w:val="007A7B7D"/>
    <w:rsid w:val="007A7BBB"/>
    <w:rsid w:val="007B00B0"/>
    <w:rsid w:val="007B15A2"/>
    <w:rsid w:val="007B1BDA"/>
    <w:rsid w:val="007B1F82"/>
    <w:rsid w:val="007B25AC"/>
    <w:rsid w:val="007B2ADE"/>
    <w:rsid w:val="007B2FAF"/>
    <w:rsid w:val="007B3462"/>
    <w:rsid w:val="007B3583"/>
    <w:rsid w:val="007B37DB"/>
    <w:rsid w:val="007B3BCD"/>
    <w:rsid w:val="007B413A"/>
    <w:rsid w:val="007B43B2"/>
    <w:rsid w:val="007B44D2"/>
    <w:rsid w:val="007B4948"/>
    <w:rsid w:val="007B4CCC"/>
    <w:rsid w:val="007B4ED3"/>
    <w:rsid w:val="007B52A6"/>
    <w:rsid w:val="007B55F1"/>
    <w:rsid w:val="007B5A71"/>
    <w:rsid w:val="007B5CDB"/>
    <w:rsid w:val="007B605F"/>
    <w:rsid w:val="007B658D"/>
    <w:rsid w:val="007B6681"/>
    <w:rsid w:val="007B6EC3"/>
    <w:rsid w:val="007B76C3"/>
    <w:rsid w:val="007B7B50"/>
    <w:rsid w:val="007C0968"/>
    <w:rsid w:val="007C137B"/>
    <w:rsid w:val="007C19A0"/>
    <w:rsid w:val="007C2A19"/>
    <w:rsid w:val="007C2FCA"/>
    <w:rsid w:val="007C3A0E"/>
    <w:rsid w:val="007C3B74"/>
    <w:rsid w:val="007C3FEB"/>
    <w:rsid w:val="007C4EF7"/>
    <w:rsid w:val="007C4FD2"/>
    <w:rsid w:val="007C5C21"/>
    <w:rsid w:val="007C601E"/>
    <w:rsid w:val="007C643F"/>
    <w:rsid w:val="007C67C3"/>
    <w:rsid w:val="007C680D"/>
    <w:rsid w:val="007C6DCA"/>
    <w:rsid w:val="007C6E06"/>
    <w:rsid w:val="007C737A"/>
    <w:rsid w:val="007C75DD"/>
    <w:rsid w:val="007C785A"/>
    <w:rsid w:val="007C7EFD"/>
    <w:rsid w:val="007C7FA1"/>
    <w:rsid w:val="007D0159"/>
    <w:rsid w:val="007D180A"/>
    <w:rsid w:val="007D1E2F"/>
    <w:rsid w:val="007D20C9"/>
    <w:rsid w:val="007D25E2"/>
    <w:rsid w:val="007D2E21"/>
    <w:rsid w:val="007D2FDE"/>
    <w:rsid w:val="007D34E1"/>
    <w:rsid w:val="007D39FC"/>
    <w:rsid w:val="007D3C2F"/>
    <w:rsid w:val="007D5025"/>
    <w:rsid w:val="007D55D9"/>
    <w:rsid w:val="007D5951"/>
    <w:rsid w:val="007D5966"/>
    <w:rsid w:val="007D6774"/>
    <w:rsid w:val="007D7002"/>
    <w:rsid w:val="007D72B0"/>
    <w:rsid w:val="007D7AF6"/>
    <w:rsid w:val="007D7DC8"/>
    <w:rsid w:val="007D7EB7"/>
    <w:rsid w:val="007E01C3"/>
    <w:rsid w:val="007E058E"/>
    <w:rsid w:val="007E05BC"/>
    <w:rsid w:val="007E0F70"/>
    <w:rsid w:val="007E13BC"/>
    <w:rsid w:val="007E151D"/>
    <w:rsid w:val="007E18E7"/>
    <w:rsid w:val="007E1B79"/>
    <w:rsid w:val="007E29E7"/>
    <w:rsid w:val="007E2D18"/>
    <w:rsid w:val="007E31D5"/>
    <w:rsid w:val="007E383B"/>
    <w:rsid w:val="007E39C1"/>
    <w:rsid w:val="007E3AAA"/>
    <w:rsid w:val="007E3E5F"/>
    <w:rsid w:val="007E494F"/>
    <w:rsid w:val="007E49BF"/>
    <w:rsid w:val="007E4C2C"/>
    <w:rsid w:val="007E4D37"/>
    <w:rsid w:val="007E512B"/>
    <w:rsid w:val="007E51DD"/>
    <w:rsid w:val="007E5518"/>
    <w:rsid w:val="007E6081"/>
    <w:rsid w:val="007E6D0D"/>
    <w:rsid w:val="007E6EBF"/>
    <w:rsid w:val="007E6F0C"/>
    <w:rsid w:val="007E6F9A"/>
    <w:rsid w:val="007E78A0"/>
    <w:rsid w:val="007F037F"/>
    <w:rsid w:val="007F100C"/>
    <w:rsid w:val="007F106F"/>
    <w:rsid w:val="007F15A9"/>
    <w:rsid w:val="007F1DAD"/>
    <w:rsid w:val="007F2692"/>
    <w:rsid w:val="007F2AB3"/>
    <w:rsid w:val="007F2B8D"/>
    <w:rsid w:val="007F49E7"/>
    <w:rsid w:val="007F4F9D"/>
    <w:rsid w:val="007F507A"/>
    <w:rsid w:val="007F58E0"/>
    <w:rsid w:val="007F5D0C"/>
    <w:rsid w:val="007F5D95"/>
    <w:rsid w:val="007F60EA"/>
    <w:rsid w:val="007F6A8B"/>
    <w:rsid w:val="007F6C7F"/>
    <w:rsid w:val="007F75DF"/>
    <w:rsid w:val="007F7DFC"/>
    <w:rsid w:val="00800414"/>
    <w:rsid w:val="00800509"/>
    <w:rsid w:val="0080078E"/>
    <w:rsid w:val="008009D7"/>
    <w:rsid w:val="00800A74"/>
    <w:rsid w:val="00800E61"/>
    <w:rsid w:val="0080152C"/>
    <w:rsid w:val="008015ED"/>
    <w:rsid w:val="008017D6"/>
    <w:rsid w:val="00801DDF"/>
    <w:rsid w:val="00801E7A"/>
    <w:rsid w:val="0080246F"/>
    <w:rsid w:val="00802E03"/>
    <w:rsid w:val="008036AB"/>
    <w:rsid w:val="008049DA"/>
    <w:rsid w:val="00805E29"/>
    <w:rsid w:val="008064D5"/>
    <w:rsid w:val="0080692B"/>
    <w:rsid w:val="00806DE5"/>
    <w:rsid w:val="00807743"/>
    <w:rsid w:val="00807BD3"/>
    <w:rsid w:val="00807CB9"/>
    <w:rsid w:val="00807D8C"/>
    <w:rsid w:val="00810D14"/>
    <w:rsid w:val="00810F96"/>
    <w:rsid w:val="00811451"/>
    <w:rsid w:val="00811688"/>
    <w:rsid w:val="00811A68"/>
    <w:rsid w:val="008125AB"/>
    <w:rsid w:val="008133B0"/>
    <w:rsid w:val="008134FD"/>
    <w:rsid w:val="00814F5F"/>
    <w:rsid w:val="008150D8"/>
    <w:rsid w:val="0081511B"/>
    <w:rsid w:val="00815A60"/>
    <w:rsid w:val="00816025"/>
    <w:rsid w:val="00816220"/>
    <w:rsid w:val="0081688E"/>
    <w:rsid w:val="0081748F"/>
    <w:rsid w:val="00820069"/>
    <w:rsid w:val="00820273"/>
    <w:rsid w:val="00820CB6"/>
    <w:rsid w:val="00821057"/>
    <w:rsid w:val="008215EA"/>
    <w:rsid w:val="008216F1"/>
    <w:rsid w:val="0082185E"/>
    <w:rsid w:val="00821CC2"/>
    <w:rsid w:val="008220F3"/>
    <w:rsid w:val="008226B0"/>
    <w:rsid w:val="00823064"/>
    <w:rsid w:val="008230A9"/>
    <w:rsid w:val="0082329C"/>
    <w:rsid w:val="008236D7"/>
    <w:rsid w:val="00823870"/>
    <w:rsid w:val="00823FC9"/>
    <w:rsid w:val="00825DF3"/>
    <w:rsid w:val="00826317"/>
    <w:rsid w:val="00826F80"/>
    <w:rsid w:val="008277F7"/>
    <w:rsid w:val="00827D36"/>
    <w:rsid w:val="0083034F"/>
    <w:rsid w:val="00830A16"/>
    <w:rsid w:val="00830A47"/>
    <w:rsid w:val="0083141A"/>
    <w:rsid w:val="008317AB"/>
    <w:rsid w:val="00831A39"/>
    <w:rsid w:val="0083277A"/>
    <w:rsid w:val="00832BB7"/>
    <w:rsid w:val="008340EF"/>
    <w:rsid w:val="008349A4"/>
    <w:rsid w:val="00834BA7"/>
    <w:rsid w:val="00834C97"/>
    <w:rsid w:val="00834CDC"/>
    <w:rsid w:val="008351C8"/>
    <w:rsid w:val="00835B91"/>
    <w:rsid w:val="00835CED"/>
    <w:rsid w:val="008365D0"/>
    <w:rsid w:val="008375E0"/>
    <w:rsid w:val="0083793A"/>
    <w:rsid w:val="00837966"/>
    <w:rsid w:val="00837E48"/>
    <w:rsid w:val="008403E8"/>
    <w:rsid w:val="0084157A"/>
    <w:rsid w:val="008415A0"/>
    <w:rsid w:val="00841AFD"/>
    <w:rsid w:val="00841F89"/>
    <w:rsid w:val="00842030"/>
    <w:rsid w:val="00842209"/>
    <w:rsid w:val="008423EB"/>
    <w:rsid w:val="00842622"/>
    <w:rsid w:val="008428EB"/>
    <w:rsid w:val="00842CDB"/>
    <w:rsid w:val="008431F5"/>
    <w:rsid w:val="00843401"/>
    <w:rsid w:val="00843BAA"/>
    <w:rsid w:val="0084411F"/>
    <w:rsid w:val="00844E0D"/>
    <w:rsid w:val="008452DE"/>
    <w:rsid w:val="008455DD"/>
    <w:rsid w:val="008458F8"/>
    <w:rsid w:val="0084692C"/>
    <w:rsid w:val="00846A7F"/>
    <w:rsid w:val="00846CBB"/>
    <w:rsid w:val="00850926"/>
    <w:rsid w:val="0085156B"/>
    <w:rsid w:val="0085197C"/>
    <w:rsid w:val="00852338"/>
    <w:rsid w:val="00852F71"/>
    <w:rsid w:val="008533A0"/>
    <w:rsid w:val="00853DE2"/>
    <w:rsid w:val="00854005"/>
    <w:rsid w:val="00854025"/>
    <w:rsid w:val="0085490F"/>
    <w:rsid w:val="008558D1"/>
    <w:rsid w:val="00855FC8"/>
    <w:rsid w:val="00856B7F"/>
    <w:rsid w:val="00856B93"/>
    <w:rsid w:val="0085789A"/>
    <w:rsid w:val="00857B67"/>
    <w:rsid w:val="00861B71"/>
    <w:rsid w:val="00861E3D"/>
    <w:rsid w:val="00862AC7"/>
    <w:rsid w:val="00862DD3"/>
    <w:rsid w:val="008633C4"/>
    <w:rsid w:val="008644BD"/>
    <w:rsid w:val="00864C64"/>
    <w:rsid w:val="00864F3D"/>
    <w:rsid w:val="00864FB7"/>
    <w:rsid w:val="00865142"/>
    <w:rsid w:val="008654B3"/>
    <w:rsid w:val="008659D8"/>
    <w:rsid w:val="00865B6A"/>
    <w:rsid w:val="00865D31"/>
    <w:rsid w:val="00866764"/>
    <w:rsid w:val="00866D9E"/>
    <w:rsid w:val="00867148"/>
    <w:rsid w:val="008672DA"/>
    <w:rsid w:val="008676D4"/>
    <w:rsid w:val="0086782A"/>
    <w:rsid w:val="008709D6"/>
    <w:rsid w:val="00870D59"/>
    <w:rsid w:val="00871031"/>
    <w:rsid w:val="008710D6"/>
    <w:rsid w:val="0087155F"/>
    <w:rsid w:val="00871894"/>
    <w:rsid w:val="00871BD7"/>
    <w:rsid w:val="00873794"/>
    <w:rsid w:val="00873A5F"/>
    <w:rsid w:val="00873D04"/>
    <w:rsid w:val="00873DE3"/>
    <w:rsid w:val="00874685"/>
    <w:rsid w:val="00875319"/>
    <w:rsid w:val="00875416"/>
    <w:rsid w:val="00875AF8"/>
    <w:rsid w:val="00875B7C"/>
    <w:rsid w:val="00875F9D"/>
    <w:rsid w:val="00876316"/>
    <w:rsid w:val="00876739"/>
    <w:rsid w:val="008767CC"/>
    <w:rsid w:val="008768ED"/>
    <w:rsid w:val="008768F6"/>
    <w:rsid w:val="008778C7"/>
    <w:rsid w:val="0087793D"/>
    <w:rsid w:val="00877AEF"/>
    <w:rsid w:val="00877B95"/>
    <w:rsid w:val="008800AC"/>
    <w:rsid w:val="0088023D"/>
    <w:rsid w:val="008802A9"/>
    <w:rsid w:val="00880CD3"/>
    <w:rsid w:val="00880E4A"/>
    <w:rsid w:val="008812B5"/>
    <w:rsid w:val="00881710"/>
    <w:rsid w:val="00881997"/>
    <w:rsid w:val="00881BB8"/>
    <w:rsid w:val="00881FFD"/>
    <w:rsid w:val="0088269E"/>
    <w:rsid w:val="00882925"/>
    <w:rsid w:val="00882A7A"/>
    <w:rsid w:val="00882B64"/>
    <w:rsid w:val="00882CC0"/>
    <w:rsid w:val="00883690"/>
    <w:rsid w:val="008837DA"/>
    <w:rsid w:val="00883832"/>
    <w:rsid w:val="00883D28"/>
    <w:rsid w:val="0088443F"/>
    <w:rsid w:val="0088454E"/>
    <w:rsid w:val="00884900"/>
    <w:rsid w:val="00884C00"/>
    <w:rsid w:val="0088567B"/>
    <w:rsid w:val="00885A1F"/>
    <w:rsid w:val="008862CA"/>
    <w:rsid w:val="008867BA"/>
    <w:rsid w:val="00886A96"/>
    <w:rsid w:val="00886BB5"/>
    <w:rsid w:val="00886FD8"/>
    <w:rsid w:val="00887140"/>
    <w:rsid w:val="00887352"/>
    <w:rsid w:val="008878C6"/>
    <w:rsid w:val="00887F64"/>
    <w:rsid w:val="0089084C"/>
    <w:rsid w:val="00890852"/>
    <w:rsid w:val="00890E86"/>
    <w:rsid w:val="00890FF2"/>
    <w:rsid w:val="0089188A"/>
    <w:rsid w:val="0089263A"/>
    <w:rsid w:val="00892A7D"/>
    <w:rsid w:val="00892B26"/>
    <w:rsid w:val="00893329"/>
    <w:rsid w:val="00893E34"/>
    <w:rsid w:val="00894212"/>
    <w:rsid w:val="00894978"/>
    <w:rsid w:val="00894FAA"/>
    <w:rsid w:val="008951BC"/>
    <w:rsid w:val="008957DB"/>
    <w:rsid w:val="00895B37"/>
    <w:rsid w:val="00895DC9"/>
    <w:rsid w:val="00895DE0"/>
    <w:rsid w:val="00897248"/>
    <w:rsid w:val="00897E0F"/>
    <w:rsid w:val="008A0ABA"/>
    <w:rsid w:val="008A0F89"/>
    <w:rsid w:val="008A10BB"/>
    <w:rsid w:val="008A14CD"/>
    <w:rsid w:val="008A1883"/>
    <w:rsid w:val="008A1AC2"/>
    <w:rsid w:val="008A1CA5"/>
    <w:rsid w:val="008A209A"/>
    <w:rsid w:val="008A21EA"/>
    <w:rsid w:val="008A2EC7"/>
    <w:rsid w:val="008A3186"/>
    <w:rsid w:val="008A320E"/>
    <w:rsid w:val="008A37FC"/>
    <w:rsid w:val="008A3EC2"/>
    <w:rsid w:val="008A43B0"/>
    <w:rsid w:val="008A4524"/>
    <w:rsid w:val="008A4A5A"/>
    <w:rsid w:val="008A4C9D"/>
    <w:rsid w:val="008A5023"/>
    <w:rsid w:val="008A5218"/>
    <w:rsid w:val="008A52CA"/>
    <w:rsid w:val="008A6251"/>
    <w:rsid w:val="008A646A"/>
    <w:rsid w:val="008A65F3"/>
    <w:rsid w:val="008A6A98"/>
    <w:rsid w:val="008A6EDA"/>
    <w:rsid w:val="008A7242"/>
    <w:rsid w:val="008A780B"/>
    <w:rsid w:val="008A7945"/>
    <w:rsid w:val="008A7F05"/>
    <w:rsid w:val="008A7FD4"/>
    <w:rsid w:val="008B07BD"/>
    <w:rsid w:val="008B084B"/>
    <w:rsid w:val="008B12E0"/>
    <w:rsid w:val="008B323D"/>
    <w:rsid w:val="008B32EA"/>
    <w:rsid w:val="008B48D5"/>
    <w:rsid w:val="008B52D8"/>
    <w:rsid w:val="008B53D6"/>
    <w:rsid w:val="008B5643"/>
    <w:rsid w:val="008B5A62"/>
    <w:rsid w:val="008B5C6C"/>
    <w:rsid w:val="008B5CFF"/>
    <w:rsid w:val="008B61ED"/>
    <w:rsid w:val="008B6A3B"/>
    <w:rsid w:val="008B7277"/>
    <w:rsid w:val="008B73B3"/>
    <w:rsid w:val="008B7539"/>
    <w:rsid w:val="008C0008"/>
    <w:rsid w:val="008C078F"/>
    <w:rsid w:val="008C0A5F"/>
    <w:rsid w:val="008C0FA4"/>
    <w:rsid w:val="008C11DD"/>
    <w:rsid w:val="008C1505"/>
    <w:rsid w:val="008C163B"/>
    <w:rsid w:val="008C2429"/>
    <w:rsid w:val="008C2B36"/>
    <w:rsid w:val="008C2C41"/>
    <w:rsid w:val="008C2E35"/>
    <w:rsid w:val="008C2EC2"/>
    <w:rsid w:val="008C372A"/>
    <w:rsid w:val="008C3B7A"/>
    <w:rsid w:val="008C4039"/>
    <w:rsid w:val="008C434A"/>
    <w:rsid w:val="008C4A50"/>
    <w:rsid w:val="008C4E51"/>
    <w:rsid w:val="008C5126"/>
    <w:rsid w:val="008C654F"/>
    <w:rsid w:val="008C67BA"/>
    <w:rsid w:val="008C6C18"/>
    <w:rsid w:val="008C706B"/>
    <w:rsid w:val="008C7E96"/>
    <w:rsid w:val="008D0332"/>
    <w:rsid w:val="008D0375"/>
    <w:rsid w:val="008D0F91"/>
    <w:rsid w:val="008D10B6"/>
    <w:rsid w:val="008D157E"/>
    <w:rsid w:val="008D1D7E"/>
    <w:rsid w:val="008D2AA6"/>
    <w:rsid w:val="008D2DDC"/>
    <w:rsid w:val="008D4892"/>
    <w:rsid w:val="008D4C1C"/>
    <w:rsid w:val="008D4E06"/>
    <w:rsid w:val="008D510C"/>
    <w:rsid w:val="008D5114"/>
    <w:rsid w:val="008D51EC"/>
    <w:rsid w:val="008D5EE6"/>
    <w:rsid w:val="008D658F"/>
    <w:rsid w:val="008D75EC"/>
    <w:rsid w:val="008E0105"/>
    <w:rsid w:val="008E080B"/>
    <w:rsid w:val="008E0C35"/>
    <w:rsid w:val="008E0C42"/>
    <w:rsid w:val="008E1251"/>
    <w:rsid w:val="008E1673"/>
    <w:rsid w:val="008E1AAB"/>
    <w:rsid w:val="008E1B06"/>
    <w:rsid w:val="008E205A"/>
    <w:rsid w:val="008E2998"/>
    <w:rsid w:val="008E2B82"/>
    <w:rsid w:val="008E2F0D"/>
    <w:rsid w:val="008E2F3C"/>
    <w:rsid w:val="008E32E1"/>
    <w:rsid w:val="008E34A5"/>
    <w:rsid w:val="008E389B"/>
    <w:rsid w:val="008E3C8C"/>
    <w:rsid w:val="008E47CA"/>
    <w:rsid w:val="008E47EC"/>
    <w:rsid w:val="008E5558"/>
    <w:rsid w:val="008E65EA"/>
    <w:rsid w:val="008E6EDC"/>
    <w:rsid w:val="008E7271"/>
    <w:rsid w:val="008E78FF"/>
    <w:rsid w:val="008E79CF"/>
    <w:rsid w:val="008E7EEF"/>
    <w:rsid w:val="008F0D99"/>
    <w:rsid w:val="008F11F1"/>
    <w:rsid w:val="008F151A"/>
    <w:rsid w:val="008F178B"/>
    <w:rsid w:val="008F1C6F"/>
    <w:rsid w:val="008F1F4C"/>
    <w:rsid w:val="008F27CB"/>
    <w:rsid w:val="008F2811"/>
    <w:rsid w:val="008F37DA"/>
    <w:rsid w:val="008F3959"/>
    <w:rsid w:val="008F39F4"/>
    <w:rsid w:val="008F3A64"/>
    <w:rsid w:val="008F42EB"/>
    <w:rsid w:val="008F451A"/>
    <w:rsid w:val="008F4ACA"/>
    <w:rsid w:val="008F51DF"/>
    <w:rsid w:val="008F7C5B"/>
    <w:rsid w:val="008F7F8E"/>
    <w:rsid w:val="0090096F"/>
    <w:rsid w:val="00900C32"/>
    <w:rsid w:val="00901219"/>
    <w:rsid w:val="00901610"/>
    <w:rsid w:val="00901D8B"/>
    <w:rsid w:val="00902968"/>
    <w:rsid w:val="00902B2F"/>
    <w:rsid w:val="00902D46"/>
    <w:rsid w:val="0090351C"/>
    <w:rsid w:val="00903F02"/>
    <w:rsid w:val="009042E4"/>
    <w:rsid w:val="009042E9"/>
    <w:rsid w:val="009049E8"/>
    <w:rsid w:val="00904F01"/>
    <w:rsid w:val="0090513E"/>
    <w:rsid w:val="009051D3"/>
    <w:rsid w:val="009057B1"/>
    <w:rsid w:val="00905C24"/>
    <w:rsid w:val="00905EBE"/>
    <w:rsid w:val="00906D69"/>
    <w:rsid w:val="00907820"/>
    <w:rsid w:val="00907FF7"/>
    <w:rsid w:val="0091002D"/>
    <w:rsid w:val="009101C3"/>
    <w:rsid w:val="009109A1"/>
    <w:rsid w:val="00910FA0"/>
    <w:rsid w:val="0091149A"/>
    <w:rsid w:val="00911E7C"/>
    <w:rsid w:val="00911ED6"/>
    <w:rsid w:val="0091255B"/>
    <w:rsid w:val="00912B89"/>
    <w:rsid w:val="00912C47"/>
    <w:rsid w:val="00914580"/>
    <w:rsid w:val="00914E91"/>
    <w:rsid w:val="00915C0D"/>
    <w:rsid w:val="00916053"/>
    <w:rsid w:val="0091671F"/>
    <w:rsid w:val="00916A05"/>
    <w:rsid w:val="009172E3"/>
    <w:rsid w:val="00917593"/>
    <w:rsid w:val="0092039F"/>
    <w:rsid w:val="009203F8"/>
    <w:rsid w:val="00920852"/>
    <w:rsid w:val="009209DE"/>
    <w:rsid w:val="009213A7"/>
    <w:rsid w:val="0092178B"/>
    <w:rsid w:val="009217D2"/>
    <w:rsid w:val="0092185B"/>
    <w:rsid w:val="00922054"/>
    <w:rsid w:val="0092220F"/>
    <w:rsid w:val="00922999"/>
    <w:rsid w:val="009229D5"/>
    <w:rsid w:val="00922AC9"/>
    <w:rsid w:val="009231FB"/>
    <w:rsid w:val="0092436C"/>
    <w:rsid w:val="0092537C"/>
    <w:rsid w:val="009267E9"/>
    <w:rsid w:val="00926BE7"/>
    <w:rsid w:val="00927E06"/>
    <w:rsid w:val="00930149"/>
    <w:rsid w:val="00930269"/>
    <w:rsid w:val="0093054E"/>
    <w:rsid w:val="009309DB"/>
    <w:rsid w:val="009313BF"/>
    <w:rsid w:val="00931C87"/>
    <w:rsid w:val="00931F57"/>
    <w:rsid w:val="0093220E"/>
    <w:rsid w:val="0093284C"/>
    <w:rsid w:val="00932E0A"/>
    <w:rsid w:val="00932E4B"/>
    <w:rsid w:val="0093396E"/>
    <w:rsid w:val="00933E5F"/>
    <w:rsid w:val="00934727"/>
    <w:rsid w:val="0093506C"/>
    <w:rsid w:val="009364E4"/>
    <w:rsid w:val="0093662B"/>
    <w:rsid w:val="00936789"/>
    <w:rsid w:val="00936AD7"/>
    <w:rsid w:val="00937383"/>
    <w:rsid w:val="00937C04"/>
    <w:rsid w:val="00937F46"/>
    <w:rsid w:val="00940A9D"/>
    <w:rsid w:val="00940EB5"/>
    <w:rsid w:val="00941E6E"/>
    <w:rsid w:val="009422B2"/>
    <w:rsid w:val="00942F6A"/>
    <w:rsid w:val="00942F73"/>
    <w:rsid w:val="009445A6"/>
    <w:rsid w:val="00944E0E"/>
    <w:rsid w:val="0094502C"/>
    <w:rsid w:val="00945D20"/>
    <w:rsid w:val="009460F0"/>
    <w:rsid w:val="009461CB"/>
    <w:rsid w:val="009468D6"/>
    <w:rsid w:val="009468F5"/>
    <w:rsid w:val="009469F9"/>
    <w:rsid w:val="00947442"/>
    <w:rsid w:val="00947AC1"/>
    <w:rsid w:val="009502C8"/>
    <w:rsid w:val="00950736"/>
    <w:rsid w:val="009509E1"/>
    <w:rsid w:val="00950B1C"/>
    <w:rsid w:val="00950B52"/>
    <w:rsid w:val="00950E8B"/>
    <w:rsid w:val="00950EC3"/>
    <w:rsid w:val="009516B5"/>
    <w:rsid w:val="00952286"/>
    <w:rsid w:val="0095277F"/>
    <w:rsid w:val="0095278F"/>
    <w:rsid w:val="00952879"/>
    <w:rsid w:val="00952F10"/>
    <w:rsid w:val="00952FEA"/>
    <w:rsid w:val="00953392"/>
    <w:rsid w:val="00953F35"/>
    <w:rsid w:val="009548BA"/>
    <w:rsid w:val="00955027"/>
    <w:rsid w:val="0095526D"/>
    <w:rsid w:val="00955D39"/>
    <w:rsid w:val="0095701C"/>
    <w:rsid w:val="00957890"/>
    <w:rsid w:val="009578B0"/>
    <w:rsid w:val="00957984"/>
    <w:rsid w:val="00957A1E"/>
    <w:rsid w:val="00957B38"/>
    <w:rsid w:val="00957C6D"/>
    <w:rsid w:val="00960429"/>
    <w:rsid w:val="009604AB"/>
    <w:rsid w:val="00960F31"/>
    <w:rsid w:val="0096114A"/>
    <w:rsid w:val="00961BA7"/>
    <w:rsid w:val="00961E94"/>
    <w:rsid w:val="00961F3B"/>
    <w:rsid w:val="00961F7E"/>
    <w:rsid w:val="009632F6"/>
    <w:rsid w:val="00963650"/>
    <w:rsid w:val="009638E6"/>
    <w:rsid w:val="009639B4"/>
    <w:rsid w:val="0096443A"/>
    <w:rsid w:val="00964A94"/>
    <w:rsid w:val="009650EC"/>
    <w:rsid w:val="00965183"/>
    <w:rsid w:val="009654F6"/>
    <w:rsid w:val="0096561E"/>
    <w:rsid w:val="00965C91"/>
    <w:rsid w:val="0096621B"/>
    <w:rsid w:val="009665BD"/>
    <w:rsid w:val="009677FA"/>
    <w:rsid w:val="00970492"/>
    <w:rsid w:val="00970DFE"/>
    <w:rsid w:val="00970F32"/>
    <w:rsid w:val="009713D1"/>
    <w:rsid w:val="009718D7"/>
    <w:rsid w:val="00971B3A"/>
    <w:rsid w:val="00971D90"/>
    <w:rsid w:val="00972128"/>
    <w:rsid w:val="00972609"/>
    <w:rsid w:val="00972DBA"/>
    <w:rsid w:val="00973911"/>
    <w:rsid w:val="009740B0"/>
    <w:rsid w:val="00974155"/>
    <w:rsid w:val="00974635"/>
    <w:rsid w:val="00975362"/>
    <w:rsid w:val="009755B7"/>
    <w:rsid w:val="00975894"/>
    <w:rsid w:val="0097589D"/>
    <w:rsid w:val="00975A76"/>
    <w:rsid w:val="00976849"/>
    <w:rsid w:val="00976B48"/>
    <w:rsid w:val="00976D4B"/>
    <w:rsid w:val="00977347"/>
    <w:rsid w:val="00977360"/>
    <w:rsid w:val="00977A1C"/>
    <w:rsid w:val="00977BF5"/>
    <w:rsid w:val="00977D22"/>
    <w:rsid w:val="0098000F"/>
    <w:rsid w:val="009803F7"/>
    <w:rsid w:val="00980EFD"/>
    <w:rsid w:val="009818CA"/>
    <w:rsid w:val="00981C6A"/>
    <w:rsid w:val="0098263D"/>
    <w:rsid w:val="009832E9"/>
    <w:rsid w:val="0098386E"/>
    <w:rsid w:val="00983A95"/>
    <w:rsid w:val="00983DA7"/>
    <w:rsid w:val="00983DDD"/>
    <w:rsid w:val="00985562"/>
    <w:rsid w:val="00985A57"/>
    <w:rsid w:val="009868A3"/>
    <w:rsid w:val="00986B07"/>
    <w:rsid w:val="00986EEA"/>
    <w:rsid w:val="00986F4A"/>
    <w:rsid w:val="00986FA5"/>
    <w:rsid w:val="00986FB9"/>
    <w:rsid w:val="00987138"/>
    <w:rsid w:val="0098714E"/>
    <w:rsid w:val="009903AF"/>
    <w:rsid w:val="00990E3D"/>
    <w:rsid w:val="00991483"/>
    <w:rsid w:val="00991505"/>
    <w:rsid w:val="009918DC"/>
    <w:rsid w:val="009929A2"/>
    <w:rsid w:val="009931AB"/>
    <w:rsid w:val="00993789"/>
    <w:rsid w:val="00993C34"/>
    <w:rsid w:val="00993ED4"/>
    <w:rsid w:val="009944E0"/>
    <w:rsid w:val="00994848"/>
    <w:rsid w:val="00994E89"/>
    <w:rsid w:val="00995595"/>
    <w:rsid w:val="00995833"/>
    <w:rsid w:val="00996439"/>
    <w:rsid w:val="00997B6E"/>
    <w:rsid w:val="009A019C"/>
    <w:rsid w:val="009A0DE7"/>
    <w:rsid w:val="009A0EF3"/>
    <w:rsid w:val="009A1763"/>
    <w:rsid w:val="009A1973"/>
    <w:rsid w:val="009A1D4A"/>
    <w:rsid w:val="009A2058"/>
    <w:rsid w:val="009A249F"/>
    <w:rsid w:val="009A27DA"/>
    <w:rsid w:val="009A39B8"/>
    <w:rsid w:val="009A3BAF"/>
    <w:rsid w:val="009A490B"/>
    <w:rsid w:val="009A4E82"/>
    <w:rsid w:val="009A54E5"/>
    <w:rsid w:val="009A570C"/>
    <w:rsid w:val="009A59AE"/>
    <w:rsid w:val="009A5ABC"/>
    <w:rsid w:val="009A655B"/>
    <w:rsid w:val="009A6EEE"/>
    <w:rsid w:val="009A7034"/>
    <w:rsid w:val="009A7BD4"/>
    <w:rsid w:val="009B0197"/>
    <w:rsid w:val="009B0EFC"/>
    <w:rsid w:val="009B1BD3"/>
    <w:rsid w:val="009B20AD"/>
    <w:rsid w:val="009B388A"/>
    <w:rsid w:val="009B39B0"/>
    <w:rsid w:val="009B39B6"/>
    <w:rsid w:val="009B3A63"/>
    <w:rsid w:val="009B3B1A"/>
    <w:rsid w:val="009B564D"/>
    <w:rsid w:val="009B5DE5"/>
    <w:rsid w:val="009B72AD"/>
    <w:rsid w:val="009B76A1"/>
    <w:rsid w:val="009C0219"/>
    <w:rsid w:val="009C04A9"/>
    <w:rsid w:val="009C0CD0"/>
    <w:rsid w:val="009C0DB6"/>
    <w:rsid w:val="009C0F38"/>
    <w:rsid w:val="009C115B"/>
    <w:rsid w:val="009C13E8"/>
    <w:rsid w:val="009C17F3"/>
    <w:rsid w:val="009C1A22"/>
    <w:rsid w:val="009C26E8"/>
    <w:rsid w:val="009C28A6"/>
    <w:rsid w:val="009C2903"/>
    <w:rsid w:val="009C2CD0"/>
    <w:rsid w:val="009C3747"/>
    <w:rsid w:val="009C458B"/>
    <w:rsid w:val="009C490A"/>
    <w:rsid w:val="009C51E6"/>
    <w:rsid w:val="009C597C"/>
    <w:rsid w:val="009C5B78"/>
    <w:rsid w:val="009C6612"/>
    <w:rsid w:val="009C661B"/>
    <w:rsid w:val="009C762D"/>
    <w:rsid w:val="009C76CD"/>
    <w:rsid w:val="009C7BB5"/>
    <w:rsid w:val="009C7CA5"/>
    <w:rsid w:val="009C7E6F"/>
    <w:rsid w:val="009D0C12"/>
    <w:rsid w:val="009D0E58"/>
    <w:rsid w:val="009D108C"/>
    <w:rsid w:val="009D240D"/>
    <w:rsid w:val="009D294E"/>
    <w:rsid w:val="009D2F49"/>
    <w:rsid w:val="009D33F5"/>
    <w:rsid w:val="009D5443"/>
    <w:rsid w:val="009D5546"/>
    <w:rsid w:val="009D570B"/>
    <w:rsid w:val="009D58DD"/>
    <w:rsid w:val="009D5AA7"/>
    <w:rsid w:val="009D5AAB"/>
    <w:rsid w:val="009D5C75"/>
    <w:rsid w:val="009D5DB9"/>
    <w:rsid w:val="009D6386"/>
    <w:rsid w:val="009D6615"/>
    <w:rsid w:val="009D6CE0"/>
    <w:rsid w:val="009D703B"/>
    <w:rsid w:val="009D72C4"/>
    <w:rsid w:val="009D751D"/>
    <w:rsid w:val="009D7E75"/>
    <w:rsid w:val="009E0833"/>
    <w:rsid w:val="009E0C5B"/>
    <w:rsid w:val="009E0C8D"/>
    <w:rsid w:val="009E1CB8"/>
    <w:rsid w:val="009E1E51"/>
    <w:rsid w:val="009E2862"/>
    <w:rsid w:val="009E3368"/>
    <w:rsid w:val="009E3FD7"/>
    <w:rsid w:val="009E41D3"/>
    <w:rsid w:val="009E4BB0"/>
    <w:rsid w:val="009E516E"/>
    <w:rsid w:val="009E5199"/>
    <w:rsid w:val="009E5813"/>
    <w:rsid w:val="009E6160"/>
    <w:rsid w:val="009E68C9"/>
    <w:rsid w:val="009E6A2B"/>
    <w:rsid w:val="009E6BF6"/>
    <w:rsid w:val="009E6E04"/>
    <w:rsid w:val="009E7170"/>
    <w:rsid w:val="009E7332"/>
    <w:rsid w:val="009E794B"/>
    <w:rsid w:val="009E7C32"/>
    <w:rsid w:val="009F0453"/>
    <w:rsid w:val="009F0BA2"/>
    <w:rsid w:val="009F11D1"/>
    <w:rsid w:val="009F12C4"/>
    <w:rsid w:val="009F1AE0"/>
    <w:rsid w:val="009F2765"/>
    <w:rsid w:val="009F2BCB"/>
    <w:rsid w:val="009F301D"/>
    <w:rsid w:val="009F3041"/>
    <w:rsid w:val="009F3546"/>
    <w:rsid w:val="009F362C"/>
    <w:rsid w:val="009F3D7B"/>
    <w:rsid w:val="009F429D"/>
    <w:rsid w:val="009F45B5"/>
    <w:rsid w:val="009F5343"/>
    <w:rsid w:val="009F6781"/>
    <w:rsid w:val="009F6B21"/>
    <w:rsid w:val="009F749C"/>
    <w:rsid w:val="009F7C2F"/>
    <w:rsid w:val="00A00342"/>
    <w:rsid w:val="00A00685"/>
    <w:rsid w:val="00A00FC3"/>
    <w:rsid w:val="00A0153E"/>
    <w:rsid w:val="00A01CA2"/>
    <w:rsid w:val="00A02662"/>
    <w:rsid w:val="00A02DF2"/>
    <w:rsid w:val="00A02F32"/>
    <w:rsid w:val="00A03009"/>
    <w:rsid w:val="00A03060"/>
    <w:rsid w:val="00A030A1"/>
    <w:rsid w:val="00A0310F"/>
    <w:rsid w:val="00A0329F"/>
    <w:rsid w:val="00A0360D"/>
    <w:rsid w:val="00A0381A"/>
    <w:rsid w:val="00A03D37"/>
    <w:rsid w:val="00A04E91"/>
    <w:rsid w:val="00A058C6"/>
    <w:rsid w:val="00A062CA"/>
    <w:rsid w:val="00A06A25"/>
    <w:rsid w:val="00A06C98"/>
    <w:rsid w:val="00A07856"/>
    <w:rsid w:val="00A10103"/>
    <w:rsid w:val="00A1080A"/>
    <w:rsid w:val="00A10A50"/>
    <w:rsid w:val="00A10FA5"/>
    <w:rsid w:val="00A11136"/>
    <w:rsid w:val="00A1132B"/>
    <w:rsid w:val="00A114A8"/>
    <w:rsid w:val="00A13850"/>
    <w:rsid w:val="00A148ED"/>
    <w:rsid w:val="00A14F76"/>
    <w:rsid w:val="00A150CB"/>
    <w:rsid w:val="00A150D1"/>
    <w:rsid w:val="00A15A9D"/>
    <w:rsid w:val="00A15B0A"/>
    <w:rsid w:val="00A15F8D"/>
    <w:rsid w:val="00A16822"/>
    <w:rsid w:val="00A1686A"/>
    <w:rsid w:val="00A16A92"/>
    <w:rsid w:val="00A16F22"/>
    <w:rsid w:val="00A17DB8"/>
    <w:rsid w:val="00A202E8"/>
    <w:rsid w:val="00A2096E"/>
    <w:rsid w:val="00A209C0"/>
    <w:rsid w:val="00A20BE9"/>
    <w:rsid w:val="00A20C8C"/>
    <w:rsid w:val="00A210F8"/>
    <w:rsid w:val="00A214A2"/>
    <w:rsid w:val="00A217E4"/>
    <w:rsid w:val="00A21A93"/>
    <w:rsid w:val="00A21B93"/>
    <w:rsid w:val="00A21EE7"/>
    <w:rsid w:val="00A221A7"/>
    <w:rsid w:val="00A222AB"/>
    <w:rsid w:val="00A22845"/>
    <w:rsid w:val="00A22918"/>
    <w:rsid w:val="00A233E4"/>
    <w:rsid w:val="00A2353B"/>
    <w:rsid w:val="00A236E3"/>
    <w:rsid w:val="00A2381D"/>
    <w:rsid w:val="00A24078"/>
    <w:rsid w:val="00A24231"/>
    <w:rsid w:val="00A2425C"/>
    <w:rsid w:val="00A24D6B"/>
    <w:rsid w:val="00A25A3C"/>
    <w:rsid w:val="00A25AA2"/>
    <w:rsid w:val="00A2632C"/>
    <w:rsid w:val="00A26772"/>
    <w:rsid w:val="00A26AE1"/>
    <w:rsid w:val="00A26E26"/>
    <w:rsid w:val="00A272AC"/>
    <w:rsid w:val="00A27744"/>
    <w:rsid w:val="00A279E9"/>
    <w:rsid w:val="00A27A4F"/>
    <w:rsid w:val="00A27DF9"/>
    <w:rsid w:val="00A30F12"/>
    <w:rsid w:val="00A3192E"/>
    <w:rsid w:val="00A3196B"/>
    <w:rsid w:val="00A31EF1"/>
    <w:rsid w:val="00A32217"/>
    <w:rsid w:val="00A3231A"/>
    <w:rsid w:val="00A32610"/>
    <w:rsid w:val="00A32674"/>
    <w:rsid w:val="00A32D11"/>
    <w:rsid w:val="00A32DB0"/>
    <w:rsid w:val="00A3350C"/>
    <w:rsid w:val="00A3420F"/>
    <w:rsid w:val="00A346A1"/>
    <w:rsid w:val="00A34B50"/>
    <w:rsid w:val="00A34DE0"/>
    <w:rsid w:val="00A35727"/>
    <w:rsid w:val="00A35B59"/>
    <w:rsid w:val="00A35DA8"/>
    <w:rsid w:val="00A35F6D"/>
    <w:rsid w:val="00A360BA"/>
    <w:rsid w:val="00A369C2"/>
    <w:rsid w:val="00A36B17"/>
    <w:rsid w:val="00A3725D"/>
    <w:rsid w:val="00A37312"/>
    <w:rsid w:val="00A376A3"/>
    <w:rsid w:val="00A37905"/>
    <w:rsid w:val="00A40652"/>
    <w:rsid w:val="00A40B97"/>
    <w:rsid w:val="00A41A0E"/>
    <w:rsid w:val="00A4325C"/>
    <w:rsid w:val="00A44329"/>
    <w:rsid w:val="00A444C3"/>
    <w:rsid w:val="00A445A5"/>
    <w:rsid w:val="00A44696"/>
    <w:rsid w:val="00A46112"/>
    <w:rsid w:val="00A47246"/>
    <w:rsid w:val="00A473FA"/>
    <w:rsid w:val="00A47C3B"/>
    <w:rsid w:val="00A5068E"/>
    <w:rsid w:val="00A50709"/>
    <w:rsid w:val="00A508E6"/>
    <w:rsid w:val="00A50952"/>
    <w:rsid w:val="00A5097C"/>
    <w:rsid w:val="00A50F61"/>
    <w:rsid w:val="00A51525"/>
    <w:rsid w:val="00A51DB4"/>
    <w:rsid w:val="00A51F98"/>
    <w:rsid w:val="00A52015"/>
    <w:rsid w:val="00A52AA2"/>
    <w:rsid w:val="00A52B2B"/>
    <w:rsid w:val="00A52C74"/>
    <w:rsid w:val="00A52FE3"/>
    <w:rsid w:val="00A53C5C"/>
    <w:rsid w:val="00A54056"/>
    <w:rsid w:val="00A54429"/>
    <w:rsid w:val="00A54693"/>
    <w:rsid w:val="00A547FA"/>
    <w:rsid w:val="00A54D04"/>
    <w:rsid w:val="00A5591F"/>
    <w:rsid w:val="00A55E94"/>
    <w:rsid w:val="00A56BD2"/>
    <w:rsid w:val="00A56FF5"/>
    <w:rsid w:val="00A57103"/>
    <w:rsid w:val="00A5716E"/>
    <w:rsid w:val="00A57B2F"/>
    <w:rsid w:val="00A603CF"/>
    <w:rsid w:val="00A60ACF"/>
    <w:rsid w:val="00A61329"/>
    <w:rsid w:val="00A618A5"/>
    <w:rsid w:val="00A61CD5"/>
    <w:rsid w:val="00A61D50"/>
    <w:rsid w:val="00A6203E"/>
    <w:rsid w:val="00A62DB4"/>
    <w:rsid w:val="00A63210"/>
    <w:rsid w:val="00A636B5"/>
    <w:rsid w:val="00A63925"/>
    <w:rsid w:val="00A645FE"/>
    <w:rsid w:val="00A64C02"/>
    <w:rsid w:val="00A652ED"/>
    <w:rsid w:val="00A65888"/>
    <w:rsid w:val="00A65A6B"/>
    <w:rsid w:val="00A65C1B"/>
    <w:rsid w:val="00A65C8D"/>
    <w:rsid w:val="00A6666B"/>
    <w:rsid w:val="00A666A7"/>
    <w:rsid w:val="00A67139"/>
    <w:rsid w:val="00A6737B"/>
    <w:rsid w:val="00A6790A"/>
    <w:rsid w:val="00A67C3D"/>
    <w:rsid w:val="00A67D15"/>
    <w:rsid w:val="00A67D50"/>
    <w:rsid w:val="00A71330"/>
    <w:rsid w:val="00A71359"/>
    <w:rsid w:val="00A7159E"/>
    <w:rsid w:val="00A71703"/>
    <w:rsid w:val="00A7284B"/>
    <w:rsid w:val="00A72885"/>
    <w:rsid w:val="00A73144"/>
    <w:rsid w:val="00A73948"/>
    <w:rsid w:val="00A73D91"/>
    <w:rsid w:val="00A7432C"/>
    <w:rsid w:val="00A74784"/>
    <w:rsid w:val="00A74F56"/>
    <w:rsid w:val="00A76150"/>
    <w:rsid w:val="00A76921"/>
    <w:rsid w:val="00A77DB9"/>
    <w:rsid w:val="00A77E1B"/>
    <w:rsid w:val="00A77EF5"/>
    <w:rsid w:val="00A8087E"/>
    <w:rsid w:val="00A808C4"/>
    <w:rsid w:val="00A80BF8"/>
    <w:rsid w:val="00A820ED"/>
    <w:rsid w:val="00A8220F"/>
    <w:rsid w:val="00A827A9"/>
    <w:rsid w:val="00A82B72"/>
    <w:rsid w:val="00A82C85"/>
    <w:rsid w:val="00A83502"/>
    <w:rsid w:val="00A83742"/>
    <w:rsid w:val="00A839B6"/>
    <w:rsid w:val="00A83F39"/>
    <w:rsid w:val="00A840E7"/>
    <w:rsid w:val="00A84D5A"/>
    <w:rsid w:val="00A84DA9"/>
    <w:rsid w:val="00A84FAB"/>
    <w:rsid w:val="00A85021"/>
    <w:rsid w:val="00A85805"/>
    <w:rsid w:val="00A85A26"/>
    <w:rsid w:val="00A85C4A"/>
    <w:rsid w:val="00A85C96"/>
    <w:rsid w:val="00A87738"/>
    <w:rsid w:val="00A87742"/>
    <w:rsid w:val="00A87BF1"/>
    <w:rsid w:val="00A903B0"/>
    <w:rsid w:val="00A90745"/>
    <w:rsid w:val="00A9096F"/>
    <w:rsid w:val="00A90C1D"/>
    <w:rsid w:val="00A9110F"/>
    <w:rsid w:val="00A9168B"/>
    <w:rsid w:val="00A92517"/>
    <w:rsid w:val="00A9257D"/>
    <w:rsid w:val="00A92657"/>
    <w:rsid w:val="00A9275F"/>
    <w:rsid w:val="00A92810"/>
    <w:rsid w:val="00A93396"/>
    <w:rsid w:val="00A93A3A"/>
    <w:rsid w:val="00A94024"/>
    <w:rsid w:val="00A9430B"/>
    <w:rsid w:val="00A94AA1"/>
    <w:rsid w:val="00A94B1A"/>
    <w:rsid w:val="00A94B95"/>
    <w:rsid w:val="00A94DEF"/>
    <w:rsid w:val="00A9774D"/>
    <w:rsid w:val="00A97892"/>
    <w:rsid w:val="00A97955"/>
    <w:rsid w:val="00A97B1E"/>
    <w:rsid w:val="00AA0456"/>
    <w:rsid w:val="00AA0C66"/>
    <w:rsid w:val="00AA0D70"/>
    <w:rsid w:val="00AA216E"/>
    <w:rsid w:val="00AA2BE8"/>
    <w:rsid w:val="00AA3667"/>
    <w:rsid w:val="00AA395A"/>
    <w:rsid w:val="00AA41C1"/>
    <w:rsid w:val="00AA444A"/>
    <w:rsid w:val="00AA475F"/>
    <w:rsid w:val="00AA4E10"/>
    <w:rsid w:val="00AA54E0"/>
    <w:rsid w:val="00AA5ECA"/>
    <w:rsid w:val="00AA604A"/>
    <w:rsid w:val="00AA6C5C"/>
    <w:rsid w:val="00AA6DF0"/>
    <w:rsid w:val="00AA76B9"/>
    <w:rsid w:val="00AA7953"/>
    <w:rsid w:val="00AA7A02"/>
    <w:rsid w:val="00AA7CD5"/>
    <w:rsid w:val="00AB0592"/>
    <w:rsid w:val="00AB0D83"/>
    <w:rsid w:val="00AB11FF"/>
    <w:rsid w:val="00AB1FD2"/>
    <w:rsid w:val="00AB2065"/>
    <w:rsid w:val="00AB2D09"/>
    <w:rsid w:val="00AB33D3"/>
    <w:rsid w:val="00AB366E"/>
    <w:rsid w:val="00AB404A"/>
    <w:rsid w:val="00AB45E6"/>
    <w:rsid w:val="00AB4C52"/>
    <w:rsid w:val="00AB4E9D"/>
    <w:rsid w:val="00AB4FEE"/>
    <w:rsid w:val="00AB5E54"/>
    <w:rsid w:val="00AB6530"/>
    <w:rsid w:val="00AB6C0E"/>
    <w:rsid w:val="00AB7841"/>
    <w:rsid w:val="00AC038A"/>
    <w:rsid w:val="00AC143E"/>
    <w:rsid w:val="00AC1CB4"/>
    <w:rsid w:val="00AC3156"/>
    <w:rsid w:val="00AC487B"/>
    <w:rsid w:val="00AC59E8"/>
    <w:rsid w:val="00AC603B"/>
    <w:rsid w:val="00AC60A2"/>
    <w:rsid w:val="00AC61F8"/>
    <w:rsid w:val="00AC64B1"/>
    <w:rsid w:val="00AC6776"/>
    <w:rsid w:val="00AC6973"/>
    <w:rsid w:val="00AC7BE7"/>
    <w:rsid w:val="00AD059F"/>
    <w:rsid w:val="00AD0712"/>
    <w:rsid w:val="00AD0800"/>
    <w:rsid w:val="00AD18EE"/>
    <w:rsid w:val="00AD1A95"/>
    <w:rsid w:val="00AD1FE5"/>
    <w:rsid w:val="00AD224D"/>
    <w:rsid w:val="00AD34EC"/>
    <w:rsid w:val="00AD3798"/>
    <w:rsid w:val="00AD3E1C"/>
    <w:rsid w:val="00AD3F82"/>
    <w:rsid w:val="00AD463C"/>
    <w:rsid w:val="00AD47BC"/>
    <w:rsid w:val="00AD483A"/>
    <w:rsid w:val="00AD494F"/>
    <w:rsid w:val="00AD520E"/>
    <w:rsid w:val="00AD5703"/>
    <w:rsid w:val="00AD5BF0"/>
    <w:rsid w:val="00AD65BF"/>
    <w:rsid w:val="00AD6833"/>
    <w:rsid w:val="00AD74F9"/>
    <w:rsid w:val="00AD7549"/>
    <w:rsid w:val="00AD7A09"/>
    <w:rsid w:val="00AE0030"/>
    <w:rsid w:val="00AE027F"/>
    <w:rsid w:val="00AE0687"/>
    <w:rsid w:val="00AE1251"/>
    <w:rsid w:val="00AE1570"/>
    <w:rsid w:val="00AE1CC0"/>
    <w:rsid w:val="00AE2286"/>
    <w:rsid w:val="00AE272A"/>
    <w:rsid w:val="00AE30F7"/>
    <w:rsid w:val="00AE35CF"/>
    <w:rsid w:val="00AE4830"/>
    <w:rsid w:val="00AE4B17"/>
    <w:rsid w:val="00AE52D4"/>
    <w:rsid w:val="00AE5A43"/>
    <w:rsid w:val="00AE5A86"/>
    <w:rsid w:val="00AE5AAD"/>
    <w:rsid w:val="00AE6F29"/>
    <w:rsid w:val="00AE7005"/>
    <w:rsid w:val="00AE705D"/>
    <w:rsid w:val="00AE710F"/>
    <w:rsid w:val="00AE7CB7"/>
    <w:rsid w:val="00AE7EDF"/>
    <w:rsid w:val="00AF046C"/>
    <w:rsid w:val="00AF05C2"/>
    <w:rsid w:val="00AF14C1"/>
    <w:rsid w:val="00AF2974"/>
    <w:rsid w:val="00AF2A34"/>
    <w:rsid w:val="00AF2C06"/>
    <w:rsid w:val="00AF3783"/>
    <w:rsid w:val="00AF3EAD"/>
    <w:rsid w:val="00AF3F2E"/>
    <w:rsid w:val="00AF3FB4"/>
    <w:rsid w:val="00AF4DD8"/>
    <w:rsid w:val="00AF5C1E"/>
    <w:rsid w:val="00AF5C3B"/>
    <w:rsid w:val="00AF6B40"/>
    <w:rsid w:val="00AF6FA7"/>
    <w:rsid w:val="00AF77B3"/>
    <w:rsid w:val="00B00278"/>
    <w:rsid w:val="00B0079D"/>
    <w:rsid w:val="00B00E89"/>
    <w:rsid w:val="00B01867"/>
    <w:rsid w:val="00B01C2A"/>
    <w:rsid w:val="00B01F2B"/>
    <w:rsid w:val="00B020C3"/>
    <w:rsid w:val="00B02A2F"/>
    <w:rsid w:val="00B03181"/>
    <w:rsid w:val="00B0329B"/>
    <w:rsid w:val="00B035D3"/>
    <w:rsid w:val="00B03CB7"/>
    <w:rsid w:val="00B03F0F"/>
    <w:rsid w:val="00B03FD0"/>
    <w:rsid w:val="00B04AE7"/>
    <w:rsid w:val="00B0527A"/>
    <w:rsid w:val="00B057CF"/>
    <w:rsid w:val="00B059FE"/>
    <w:rsid w:val="00B0643F"/>
    <w:rsid w:val="00B0665B"/>
    <w:rsid w:val="00B074A8"/>
    <w:rsid w:val="00B07508"/>
    <w:rsid w:val="00B07C27"/>
    <w:rsid w:val="00B1011B"/>
    <w:rsid w:val="00B10608"/>
    <w:rsid w:val="00B1060B"/>
    <w:rsid w:val="00B10D4C"/>
    <w:rsid w:val="00B11F0B"/>
    <w:rsid w:val="00B1249C"/>
    <w:rsid w:val="00B138A8"/>
    <w:rsid w:val="00B13C02"/>
    <w:rsid w:val="00B13CB2"/>
    <w:rsid w:val="00B13D01"/>
    <w:rsid w:val="00B13DE7"/>
    <w:rsid w:val="00B13F76"/>
    <w:rsid w:val="00B14A7B"/>
    <w:rsid w:val="00B15449"/>
    <w:rsid w:val="00B16582"/>
    <w:rsid w:val="00B16C91"/>
    <w:rsid w:val="00B172F3"/>
    <w:rsid w:val="00B17C38"/>
    <w:rsid w:val="00B207E2"/>
    <w:rsid w:val="00B209AD"/>
    <w:rsid w:val="00B21172"/>
    <w:rsid w:val="00B2172F"/>
    <w:rsid w:val="00B2193A"/>
    <w:rsid w:val="00B21E0D"/>
    <w:rsid w:val="00B222EC"/>
    <w:rsid w:val="00B22D49"/>
    <w:rsid w:val="00B22E7F"/>
    <w:rsid w:val="00B233E3"/>
    <w:rsid w:val="00B23EF6"/>
    <w:rsid w:val="00B23F43"/>
    <w:rsid w:val="00B240F0"/>
    <w:rsid w:val="00B242EC"/>
    <w:rsid w:val="00B245A8"/>
    <w:rsid w:val="00B251CE"/>
    <w:rsid w:val="00B2557E"/>
    <w:rsid w:val="00B25705"/>
    <w:rsid w:val="00B259A0"/>
    <w:rsid w:val="00B25DF2"/>
    <w:rsid w:val="00B26AF7"/>
    <w:rsid w:val="00B26B0C"/>
    <w:rsid w:val="00B2738D"/>
    <w:rsid w:val="00B27D8E"/>
    <w:rsid w:val="00B30799"/>
    <w:rsid w:val="00B317A2"/>
    <w:rsid w:val="00B32A3E"/>
    <w:rsid w:val="00B32F38"/>
    <w:rsid w:val="00B330E9"/>
    <w:rsid w:val="00B3341E"/>
    <w:rsid w:val="00B33BCE"/>
    <w:rsid w:val="00B340CC"/>
    <w:rsid w:val="00B3429E"/>
    <w:rsid w:val="00B34522"/>
    <w:rsid w:val="00B34590"/>
    <w:rsid w:val="00B3463C"/>
    <w:rsid w:val="00B34C48"/>
    <w:rsid w:val="00B34ED3"/>
    <w:rsid w:val="00B3529E"/>
    <w:rsid w:val="00B35C10"/>
    <w:rsid w:val="00B35D5A"/>
    <w:rsid w:val="00B360BC"/>
    <w:rsid w:val="00B361C5"/>
    <w:rsid w:val="00B36C80"/>
    <w:rsid w:val="00B370A4"/>
    <w:rsid w:val="00B370D3"/>
    <w:rsid w:val="00B376F0"/>
    <w:rsid w:val="00B37977"/>
    <w:rsid w:val="00B37984"/>
    <w:rsid w:val="00B37D08"/>
    <w:rsid w:val="00B37E75"/>
    <w:rsid w:val="00B402EA"/>
    <w:rsid w:val="00B404B6"/>
    <w:rsid w:val="00B40776"/>
    <w:rsid w:val="00B41006"/>
    <w:rsid w:val="00B415F2"/>
    <w:rsid w:val="00B41EF2"/>
    <w:rsid w:val="00B42120"/>
    <w:rsid w:val="00B425D4"/>
    <w:rsid w:val="00B42619"/>
    <w:rsid w:val="00B43149"/>
    <w:rsid w:val="00B43180"/>
    <w:rsid w:val="00B432B2"/>
    <w:rsid w:val="00B43327"/>
    <w:rsid w:val="00B43625"/>
    <w:rsid w:val="00B43B3E"/>
    <w:rsid w:val="00B43D36"/>
    <w:rsid w:val="00B4403A"/>
    <w:rsid w:val="00B44452"/>
    <w:rsid w:val="00B445E3"/>
    <w:rsid w:val="00B447BC"/>
    <w:rsid w:val="00B44C1E"/>
    <w:rsid w:val="00B4630A"/>
    <w:rsid w:val="00B46CDD"/>
    <w:rsid w:val="00B47574"/>
    <w:rsid w:val="00B47632"/>
    <w:rsid w:val="00B47D53"/>
    <w:rsid w:val="00B502A9"/>
    <w:rsid w:val="00B50948"/>
    <w:rsid w:val="00B509E9"/>
    <w:rsid w:val="00B5114E"/>
    <w:rsid w:val="00B517D8"/>
    <w:rsid w:val="00B5244D"/>
    <w:rsid w:val="00B53356"/>
    <w:rsid w:val="00B53E17"/>
    <w:rsid w:val="00B53E25"/>
    <w:rsid w:val="00B540EE"/>
    <w:rsid w:val="00B55090"/>
    <w:rsid w:val="00B56711"/>
    <w:rsid w:val="00B56D70"/>
    <w:rsid w:val="00B57815"/>
    <w:rsid w:val="00B57838"/>
    <w:rsid w:val="00B57B25"/>
    <w:rsid w:val="00B6029E"/>
    <w:rsid w:val="00B60351"/>
    <w:rsid w:val="00B60C77"/>
    <w:rsid w:val="00B62056"/>
    <w:rsid w:val="00B6277B"/>
    <w:rsid w:val="00B62D0C"/>
    <w:rsid w:val="00B62F01"/>
    <w:rsid w:val="00B63258"/>
    <w:rsid w:val="00B63A9A"/>
    <w:rsid w:val="00B64CCC"/>
    <w:rsid w:val="00B64E26"/>
    <w:rsid w:val="00B6526E"/>
    <w:rsid w:val="00B6532F"/>
    <w:rsid w:val="00B657E3"/>
    <w:rsid w:val="00B6595F"/>
    <w:rsid w:val="00B664EC"/>
    <w:rsid w:val="00B674C8"/>
    <w:rsid w:val="00B6787C"/>
    <w:rsid w:val="00B6790C"/>
    <w:rsid w:val="00B67990"/>
    <w:rsid w:val="00B67CF2"/>
    <w:rsid w:val="00B67D06"/>
    <w:rsid w:val="00B67DBF"/>
    <w:rsid w:val="00B67F4B"/>
    <w:rsid w:val="00B67F9A"/>
    <w:rsid w:val="00B7144F"/>
    <w:rsid w:val="00B714DE"/>
    <w:rsid w:val="00B7191A"/>
    <w:rsid w:val="00B71FBD"/>
    <w:rsid w:val="00B72097"/>
    <w:rsid w:val="00B72210"/>
    <w:rsid w:val="00B72340"/>
    <w:rsid w:val="00B723C3"/>
    <w:rsid w:val="00B73057"/>
    <w:rsid w:val="00B731C3"/>
    <w:rsid w:val="00B737DC"/>
    <w:rsid w:val="00B73A3A"/>
    <w:rsid w:val="00B73E2A"/>
    <w:rsid w:val="00B740B2"/>
    <w:rsid w:val="00B7411B"/>
    <w:rsid w:val="00B741E6"/>
    <w:rsid w:val="00B749FE"/>
    <w:rsid w:val="00B74F57"/>
    <w:rsid w:val="00B75771"/>
    <w:rsid w:val="00B761AF"/>
    <w:rsid w:val="00B76504"/>
    <w:rsid w:val="00B76925"/>
    <w:rsid w:val="00B77088"/>
    <w:rsid w:val="00B775E6"/>
    <w:rsid w:val="00B80CD6"/>
    <w:rsid w:val="00B815B2"/>
    <w:rsid w:val="00B81839"/>
    <w:rsid w:val="00B81C4B"/>
    <w:rsid w:val="00B81F0B"/>
    <w:rsid w:val="00B820A2"/>
    <w:rsid w:val="00B82503"/>
    <w:rsid w:val="00B82514"/>
    <w:rsid w:val="00B836A8"/>
    <w:rsid w:val="00B8406A"/>
    <w:rsid w:val="00B84244"/>
    <w:rsid w:val="00B8425C"/>
    <w:rsid w:val="00B849B4"/>
    <w:rsid w:val="00B85512"/>
    <w:rsid w:val="00B855BF"/>
    <w:rsid w:val="00B85926"/>
    <w:rsid w:val="00B861BF"/>
    <w:rsid w:val="00B863E7"/>
    <w:rsid w:val="00B870AC"/>
    <w:rsid w:val="00B87EDB"/>
    <w:rsid w:val="00B89AE4"/>
    <w:rsid w:val="00B90B76"/>
    <w:rsid w:val="00B91B8D"/>
    <w:rsid w:val="00B91C89"/>
    <w:rsid w:val="00B91D5C"/>
    <w:rsid w:val="00B91E9A"/>
    <w:rsid w:val="00B92135"/>
    <w:rsid w:val="00B9305D"/>
    <w:rsid w:val="00B930A4"/>
    <w:rsid w:val="00B934F2"/>
    <w:rsid w:val="00B935FA"/>
    <w:rsid w:val="00B93715"/>
    <w:rsid w:val="00B9387E"/>
    <w:rsid w:val="00B93C1F"/>
    <w:rsid w:val="00B948BF"/>
    <w:rsid w:val="00B955DF"/>
    <w:rsid w:val="00B96AE5"/>
    <w:rsid w:val="00B96AF8"/>
    <w:rsid w:val="00B96CFF"/>
    <w:rsid w:val="00B97750"/>
    <w:rsid w:val="00B97930"/>
    <w:rsid w:val="00B97942"/>
    <w:rsid w:val="00B97C92"/>
    <w:rsid w:val="00BA0259"/>
    <w:rsid w:val="00BA07B1"/>
    <w:rsid w:val="00BA0C41"/>
    <w:rsid w:val="00BA147A"/>
    <w:rsid w:val="00BA15FE"/>
    <w:rsid w:val="00BA18B7"/>
    <w:rsid w:val="00BA1BE9"/>
    <w:rsid w:val="00BA1C49"/>
    <w:rsid w:val="00BA1DAB"/>
    <w:rsid w:val="00BA2063"/>
    <w:rsid w:val="00BA2655"/>
    <w:rsid w:val="00BA2EA5"/>
    <w:rsid w:val="00BA3838"/>
    <w:rsid w:val="00BA3D47"/>
    <w:rsid w:val="00BA3E63"/>
    <w:rsid w:val="00BA4528"/>
    <w:rsid w:val="00BA53D0"/>
    <w:rsid w:val="00BA53D9"/>
    <w:rsid w:val="00BA55E1"/>
    <w:rsid w:val="00BA59FB"/>
    <w:rsid w:val="00BA5E15"/>
    <w:rsid w:val="00BA5ED0"/>
    <w:rsid w:val="00BA6051"/>
    <w:rsid w:val="00BA6920"/>
    <w:rsid w:val="00BA696C"/>
    <w:rsid w:val="00BA7DE9"/>
    <w:rsid w:val="00BA7E43"/>
    <w:rsid w:val="00BB02FA"/>
    <w:rsid w:val="00BB0817"/>
    <w:rsid w:val="00BB109D"/>
    <w:rsid w:val="00BB1EBF"/>
    <w:rsid w:val="00BB2A2D"/>
    <w:rsid w:val="00BB3394"/>
    <w:rsid w:val="00BB33FD"/>
    <w:rsid w:val="00BB37C4"/>
    <w:rsid w:val="00BB4296"/>
    <w:rsid w:val="00BB47B8"/>
    <w:rsid w:val="00BB549B"/>
    <w:rsid w:val="00BB54A4"/>
    <w:rsid w:val="00BB55F1"/>
    <w:rsid w:val="00BB57CA"/>
    <w:rsid w:val="00BB6399"/>
    <w:rsid w:val="00BB6647"/>
    <w:rsid w:val="00BB693C"/>
    <w:rsid w:val="00BB6DB1"/>
    <w:rsid w:val="00BB779D"/>
    <w:rsid w:val="00BB7C23"/>
    <w:rsid w:val="00BC05A6"/>
    <w:rsid w:val="00BC0816"/>
    <w:rsid w:val="00BC0A29"/>
    <w:rsid w:val="00BC137B"/>
    <w:rsid w:val="00BC19C8"/>
    <w:rsid w:val="00BC1D75"/>
    <w:rsid w:val="00BC236C"/>
    <w:rsid w:val="00BC2522"/>
    <w:rsid w:val="00BC2AC9"/>
    <w:rsid w:val="00BC317E"/>
    <w:rsid w:val="00BC3184"/>
    <w:rsid w:val="00BC320C"/>
    <w:rsid w:val="00BC3472"/>
    <w:rsid w:val="00BC3B47"/>
    <w:rsid w:val="00BC4777"/>
    <w:rsid w:val="00BC5B3C"/>
    <w:rsid w:val="00BC5DAB"/>
    <w:rsid w:val="00BC5F18"/>
    <w:rsid w:val="00BC677A"/>
    <w:rsid w:val="00BC7625"/>
    <w:rsid w:val="00BC78A3"/>
    <w:rsid w:val="00BC7C52"/>
    <w:rsid w:val="00BD0042"/>
    <w:rsid w:val="00BD01A9"/>
    <w:rsid w:val="00BD0632"/>
    <w:rsid w:val="00BD121C"/>
    <w:rsid w:val="00BD151C"/>
    <w:rsid w:val="00BD2381"/>
    <w:rsid w:val="00BD2A90"/>
    <w:rsid w:val="00BD2C2A"/>
    <w:rsid w:val="00BD3461"/>
    <w:rsid w:val="00BD3DF2"/>
    <w:rsid w:val="00BD41B0"/>
    <w:rsid w:val="00BD4C4E"/>
    <w:rsid w:val="00BD4D4A"/>
    <w:rsid w:val="00BD50B1"/>
    <w:rsid w:val="00BD50CD"/>
    <w:rsid w:val="00BD5ED4"/>
    <w:rsid w:val="00BD5F4F"/>
    <w:rsid w:val="00BD6AA1"/>
    <w:rsid w:val="00BD74C4"/>
    <w:rsid w:val="00BD78D0"/>
    <w:rsid w:val="00BD7C93"/>
    <w:rsid w:val="00BE0557"/>
    <w:rsid w:val="00BE07C8"/>
    <w:rsid w:val="00BE0B50"/>
    <w:rsid w:val="00BE1015"/>
    <w:rsid w:val="00BE17CE"/>
    <w:rsid w:val="00BE21AB"/>
    <w:rsid w:val="00BE2365"/>
    <w:rsid w:val="00BE2461"/>
    <w:rsid w:val="00BE2E16"/>
    <w:rsid w:val="00BE5032"/>
    <w:rsid w:val="00BE559B"/>
    <w:rsid w:val="00BE55D9"/>
    <w:rsid w:val="00BE5994"/>
    <w:rsid w:val="00BE63B4"/>
    <w:rsid w:val="00BE66C2"/>
    <w:rsid w:val="00BE6A36"/>
    <w:rsid w:val="00BE70C7"/>
    <w:rsid w:val="00BE7AF5"/>
    <w:rsid w:val="00BF1FCB"/>
    <w:rsid w:val="00BF25EB"/>
    <w:rsid w:val="00BF2EDB"/>
    <w:rsid w:val="00BF3192"/>
    <w:rsid w:val="00BF47B2"/>
    <w:rsid w:val="00BF4C02"/>
    <w:rsid w:val="00BF51C6"/>
    <w:rsid w:val="00BF52D4"/>
    <w:rsid w:val="00BF5406"/>
    <w:rsid w:val="00BF5A8F"/>
    <w:rsid w:val="00BF5B7E"/>
    <w:rsid w:val="00BF692E"/>
    <w:rsid w:val="00BF6F48"/>
    <w:rsid w:val="00BF717A"/>
    <w:rsid w:val="00BF7EAF"/>
    <w:rsid w:val="00C001D1"/>
    <w:rsid w:val="00C01867"/>
    <w:rsid w:val="00C01ADF"/>
    <w:rsid w:val="00C01B02"/>
    <w:rsid w:val="00C01C19"/>
    <w:rsid w:val="00C01F41"/>
    <w:rsid w:val="00C01F6D"/>
    <w:rsid w:val="00C02A7D"/>
    <w:rsid w:val="00C02D1C"/>
    <w:rsid w:val="00C0365D"/>
    <w:rsid w:val="00C03F2D"/>
    <w:rsid w:val="00C03F87"/>
    <w:rsid w:val="00C041D2"/>
    <w:rsid w:val="00C04840"/>
    <w:rsid w:val="00C04C03"/>
    <w:rsid w:val="00C05E5A"/>
    <w:rsid w:val="00C05FAA"/>
    <w:rsid w:val="00C0642E"/>
    <w:rsid w:val="00C06859"/>
    <w:rsid w:val="00C06B2F"/>
    <w:rsid w:val="00C06B44"/>
    <w:rsid w:val="00C06EDE"/>
    <w:rsid w:val="00C07019"/>
    <w:rsid w:val="00C07147"/>
    <w:rsid w:val="00C109F6"/>
    <w:rsid w:val="00C10E36"/>
    <w:rsid w:val="00C10F15"/>
    <w:rsid w:val="00C1154A"/>
    <w:rsid w:val="00C11B03"/>
    <w:rsid w:val="00C12269"/>
    <w:rsid w:val="00C12F61"/>
    <w:rsid w:val="00C130D2"/>
    <w:rsid w:val="00C13519"/>
    <w:rsid w:val="00C13B48"/>
    <w:rsid w:val="00C1400E"/>
    <w:rsid w:val="00C1469A"/>
    <w:rsid w:val="00C14916"/>
    <w:rsid w:val="00C14E80"/>
    <w:rsid w:val="00C15033"/>
    <w:rsid w:val="00C15063"/>
    <w:rsid w:val="00C156B6"/>
    <w:rsid w:val="00C15BDA"/>
    <w:rsid w:val="00C15BE5"/>
    <w:rsid w:val="00C15E6D"/>
    <w:rsid w:val="00C161EF"/>
    <w:rsid w:val="00C1648B"/>
    <w:rsid w:val="00C169D3"/>
    <w:rsid w:val="00C16BAA"/>
    <w:rsid w:val="00C16C55"/>
    <w:rsid w:val="00C1718E"/>
    <w:rsid w:val="00C1768E"/>
    <w:rsid w:val="00C2009E"/>
    <w:rsid w:val="00C209FA"/>
    <w:rsid w:val="00C22227"/>
    <w:rsid w:val="00C2228A"/>
    <w:rsid w:val="00C22D1C"/>
    <w:rsid w:val="00C22E1A"/>
    <w:rsid w:val="00C22E84"/>
    <w:rsid w:val="00C233A6"/>
    <w:rsid w:val="00C23FD8"/>
    <w:rsid w:val="00C24B10"/>
    <w:rsid w:val="00C252D8"/>
    <w:rsid w:val="00C2549B"/>
    <w:rsid w:val="00C256F6"/>
    <w:rsid w:val="00C2593C"/>
    <w:rsid w:val="00C26CF9"/>
    <w:rsid w:val="00C27090"/>
    <w:rsid w:val="00C2713A"/>
    <w:rsid w:val="00C271D5"/>
    <w:rsid w:val="00C27D10"/>
    <w:rsid w:val="00C30501"/>
    <w:rsid w:val="00C3134D"/>
    <w:rsid w:val="00C31354"/>
    <w:rsid w:val="00C31872"/>
    <w:rsid w:val="00C318AA"/>
    <w:rsid w:val="00C31A06"/>
    <w:rsid w:val="00C31A71"/>
    <w:rsid w:val="00C31B16"/>
    <w:rsid w:val="00C328F6"/>
    <w:rsid w:val="00C32A31"/>
    <w:rsid w:val="00C33CE6"/>
    <w:rsid w:val="00C358CE"/>
    <w:rsid w:val="00C360EB"/>
    <w:rsid w:val="00C368D9"/>
    <w:rsid w:val="00C36F60"/>
    <w:rsid w:val="00C370C3"/>
    <w:rsid w:val="00C372F2"/>
    <w:rsid w:val="00C376C1"/>
    <w:rsid w:val="00C37FC0"/>
    <w:rsid w:val="00C40694"/>
    <w:rsid w:val="00C40B53"/>
    <w:rsid w:val="00C40F43"/>
    <w:rsid w:val="00C418F3"/>
    <w:rsid w:val="00C41F80"/>
    <w:rsid w:val="00C42765"/>
    <w:rsid w:val="00C42926"/>
    <w:rsid w:val="00C4299A"/>
    <w:rsid w:val="00C4365E"/>
    <w:rsid w:val="00C438B0"/>
    <w:rsid w:val="00C43952"/>
    <w:rsid w:val="00C442E2"/>
    <w:rsid w:val="00C4449E"/>
    <w:rsid w:val="00C4488C"/>
    <w:rsid w:val="00C44EE1"/>
    <w:rsid w:val="00C44EFD"/>
    <w:rsid w:val="00C451D9"/>
    <w:rsid w:val="00C454E3"/>
    <w:rsid w:val="00C458D1"/>
    <w:rsid w:val="00C4610F"/>
    <w:rsid w:val="00C4640A"/>
    <w:rsid w:val="00C466A0"/>
    <w:rsid w:val="00C466F4"/>
    <w:rsid w:val="00C47087"/>
    <w:rsid w:val="00C4749F"/>
    <w:rsid w:val="00C478FD"/>
    <w:rsid w:val="00C47B51"/>
    <w:rsid w:val="00C47DE9"/>
    <w:rsid w:val="00C50078"/>
    <w:rsid w:val="00C508B6"/>
    <w:rsid w:val="00C5112F"/>
    <w:rsid w:val="00C511B0"/>
    <w:rsid w:val="00C51578"/>
    <w:rsid w:val="00C51D65"/>
    <w:rsid w:val="00C53ACB"/>
    <w:rsid w:val="00C53D15"/>
    <w:rsid w:val="00C54167"/>
    <w:rsid w:val="00C54816"/>
    <w:rsid w:val="00C54E56"/>
    <w:rsid w:val="00C55480"/>
    <w:rsid w:val="00C5553A"/>
    <w:rsid w:val="00C55AD2"/>
    <w:rsid w:val="00C57150"/>
    <w:rsid w:val="00C57C8B"/>
    <w:rsid w:val="00C6144D"/>
    <w:rsid w:val="00C61C7F"/>
    <w:rsid w:val="00C61D4D"/>
    <w:rsid w:val="00C622F7"/>
    <w:rsid w:val="00C62B35"/>
    <w:rsid w:val="00C62C47"/>
    <w:rsid w:val="00C6368D"/>
    <w:rsid w:val="00C636E0"/>
    <w:rsid w:val="00C638FF"/>
    <w:rsid w:val="00C647C3"/>
    <w:rsid w:val="00C64D18"/>
    <w:rsid w:val="00C64F27"/>
    <w:rsid w:val="00C65241"/>
    <w:rsid w:val="00C656DD"/>
    <w:rsid w:val="00C6627D"/>
    <w:rsid w:val="00C669FB"/>
    <w:rsid w:val="00C66E8C"/>
    <w:rsid w:val="00C6746A"/>
    <w:rsid w:val="00C67BE6"/>
    <w:rsid w:val="00C7021C"/>
    <w:rsid w:val="00C704EF"/>
    <w:rsid w:val="00C7064B"/>
    <w:rsid w:val="00C708B7"/>
    <w:rsid w:val="00C70A91"/>
    <w:rsid w:val="00C70ED4"/>
    <w:rsid w:val="00C718CA"/>
    <w:rsid w:val="00C71B8D"/>
    <w:rsid w:val="00C71BC5"/>
    <w:rsid w:val="00C723EC"/>
    <w:rsid w:val="00C72562"/>
    <w:rsid w:val="00C727B4"/>
    <w:rsid w:val="00C72CDE"/>
    <w:rsid w:val="00C72D17"/>
    <w:rsid w:val="00C7496C"/>
    <w:rsid w:val="00C749A5"/>
    <w:rsid w:val="00C75727"/>
    <w:rsid w:val="00C75881"/>
    <w:rsid w:val="00C75A4E"/>
    <w:rsid w:val="00C760C3"/>
    <w:rsid w:val="00C77F5B"/>
    <w:rsid w:val="00C80085"/>
    <w:rsid w:val="00C800D6"/>
    <w:rsid w:val="00C8120C"/>
    <w:rsid w:val="00C8121F"/>
    <w:rsid w:val="00C81C0D"/>
    <w:rsid w:val="00C81EFA"/>
    <w:rsid w:val="00C8287A"/>
    <w:rsid w:val="00C82D29"/>
    <w:rsid w:val="00C82EF9"/>
    <w:rsid w:val="00C833AC"/>
    <w:rsid w:val="00C83654"/>
    <w:rsid w:val="00C83985"/>
    <w:rsid w:val="00C83AA2"/>
    <w:rsid w:val="00C83AA7"/>
    <w:rsid w:val="00C84261"/>
    <w:rsid w:val="00C84537"/>
    <w:rsid w:val="00C84805"/>
    <w:rsid w:val="00C848CE"/>
    <w:rsid w:val="00C854D2"/>
    <w:rsid w:val="00C85589"/>
    <w:rsid w:val="00C864BD"/>
    <w:rsid w:val="00C86725"/>
    <w:rsid w:val="00C86A5D"/>
    <w:rsid w:val="00C86BA5"/>
    <w:rsid w:val="00C86C2C"/>
    <w:rsid w:val="00C87952"/>
    <w:rsid w:val="00C87E80"/>
    <w:rsid w:val="00C90186"/>
    <w:rsid w:val="00C902C8"/>
    <w:rsid w:val="00C905BC"/>
    <w:rsid w:val="00C90699"/>
    <w:rsid w:val="00C913A1"/>
    <w:rsid w:val="00C916AE"/>
    <w:rsid w:val="00C91853"/>
    <w:rsid w:val="00C91E6E"/>
    <w:rsid w:val="00C91F5E"/>
    <w:rsid w:val="00C92252"/>
    <w:rsid w:val="00C92D9A"/>
    <w:rsid w:val="00C92FA2"/>
    <w:rsid w:val="00C93DC9"/>
    <w:rsid w:val="00C94538"/>
    <w:rsid w:val="00C948C6"/>
    <w:rsid w:val="00C949B7"/>
    <w:rsid w:val="00C94C87"/>
    <w:rsid w:val="00C94CDA"/>
    <w:rsid w:val="00C953DB"/>
    <w:rsid w:val="00C95729"/>
    <w:rsid w:val="00C9587E"/>
    <w:rsid w:val="00C95B3C"/>
    <w:rsid w:val="00C95CB6"/>
    <w:rsid w:val="00C9650B"/>
    <w:rsid w:val="00C9677B"/>
    <w:rsid w:val="00C96CE0"/>
    <w:rsid w:val="00C972EF"/>
    <w:rsid w:val="00C97D54"/>
    <w:rsid w:val="00C97D74"/>
    <w:rsid w:val="00CA019C"/>
    <w:rsid w:val="00CA0842"/>
    <w:rsid w:val="00CA20C4"/>
    <w:rsid w:val="00CA2482"/>
    <w:rsid w:val="00CA27AE"/>
    <w:rsid w:val="00CA3119"/>
    <w:rsid w:val="00CA36D7"/>
    <w:rsid w:val="00CA3783"/>
    <w:rsid w:val="00CA421E"/>
    <w:rsid w:val="00CA44CF"/>
    <w:rsid w:val="00CA4E04"/>
    <w:rsid w:val="00CA5D60"/>
    <w:rsid w:val="00CA5FE8"/>
    <w:rsid w:val="00CA610B"/>
    <w:rsid w:val="00CA6258"/>
    <w:rsid w:val="00CA630B"/>
    <w:rsid w:val="00CA6C7F"/>
    <w:rsid w:val="00CA6F6D"/>
    <w:rsid w:val="00CA72A7"/>
    <w:rsid w:val="00CA7C45"/>
    <w:rsid w:val="00CA7C62"/>
    <w:rsid w:val="00CB07DE"/>
    <w:rsid w:val="00CB08F7"/>
    <w:rsid w:val="00CB098D"/>
    <w:rsid w:val="00CB0FF5"/>
    <w:rsid w:val="00CB14B0"/>
    <w:rsid w:val="00CB1CCA"/>
    <w:rsid w:val="00CB22AE"/>
    <w:rsid w:val="00CB27C9"/>
    <w:rsid w:val="00CB2A2F"/>
    <w:rsid w:val="00CB2FE1"/>
    <w:rsid w:val="00CB3124"/>
    <w:rsid w:val="00CB31F5"/>
    <w:rsid w:val="00CB3BD8"/>
    <w:rsid w:val="00CB45FA"/>
    <w:rsid w:val="00CB4BBB"/>
    <w:rsid w:val="00CB4F4F"/>
    <w:rsid w:val="00CB4F8C"/>
    <w:rsid w:val="00CB5041"/>
    <w:rsid w:val="00CB5131"/>
    <w:rsid w:val="00CB5A2C"/>
    <w:rsid w:val="00CB5F0E"/>
    <w:rsid w:val="00CB6837"/>
    <w:rsid w:val="00CB7E3B"/>
    <w:rsid w:val="00CC0113"/>
    <w:rsid w:val="00CC0858"/>
    <w:rsid w:val="00CC0D10"/>
    <w:rsid w:val="00CC1C74"/>
    <w:rsid w:val="00CC2509"/>
    <w:rsid w:val="00CC26EF"/>
    <w:rsid w:val="00CC2A1D"/>
    <w:rsid w:val="00CC33E9"/>
    <w:rsid w:val="00CC34A4"/>
    <w:rsid w:val="00CC4E3D"/>
    <w:rsid w:val="00CC5772"/>
    <w:rsid w:val="00CC5D44"/>
    <w:rsid w:val="00CC6DEF"/>
    <w:rsid w:val="00CC6EDB"/>
    <w:rsid w:val="00CC7BBA"/>
    <w:rsid w:val="00CC7CDB"/>
    <w:rsid w:val="00CCCC54"/>
    <w:rsid w:val="00CD00DB"/>
    <w:rsid w:val="00CD077B"/>
    <w:rsid w:val="00CD0848"/>
    <w:rsid w:val="00CD0D20"/>
    <w:rsid w:val="00CD1207"/>
    <w:rsid w:val="00CD1F80"/>
    <w:rsid w:val="00CD21AF"/>
    <w:rsid w:val="00CD235A"/>
    <w:rsid w:val="00CD2377"/>
    <w:rsid w:val="00CD3496"/>
    <w:rsid w:val="00CD350D"/>
    <w:rsid w:val="00CD38D2"/>
    <w:rsid w:val="00CD3CBE"/>
    <w:rsid w:val="00CD4441"/>
    <w:rsid w:val="00CD4C74"/>
    <w:rsid w:val="00CD4DE4"/>
    <w:rsid w:val="00CD4E61"/>
    <w:rsid w:val="00CD55E6"/>
    <w:rsid w:val="00CD5A37"/>
    <w:rsid w:val="00CD62AD"/>
    <w:rsid w:val="00CD63F9"/>
    <w:rsid w:val="00CD6930"/>
    <w:rsid w:val="00CD6A76"/>
    <w:rsid w:val="00CD7127"/>
    <w:rsid w:val="00CD7240"/>
    <w:rsid w:val="00CD74B4"/>
    <w:rsid w:val="00CD77D1"/>
    <w:rsid w:val="00CD7AD3"/>
    <w:rsid w:val="00CD7F24"/>
    <w:rsid w:val="00CD7FB5"/>
    <w:rsid w:val="00CE0210"/>
    <w:rsid w:val="00CE0428"/>
    <w:rsid w:val="00CE058A"/>
    <w:rsid w:val="00CE08BF"/>
    <w:rsid w:val="00CE1978"/>
    <w:rsid w:val="00CE1B45"/>
    <w:rsid w:val="00CE2895"/>
    <w:rsid w:val="00CE2D62"/>
    <w:rsid w:val="00CE32F3"/>
    <w:rsid w:val="00CE4561"/>
    <w:rsid w:val="00CE5604"/>
    <w:rsid w:val="00CE5B96"/>
    <w:rsid w:val="00CE6656"/>
    <w:rsid w:val="00CE6939"/>
    <w:rsid w:val="00CE6C5A"/>
    <w:rsid w:val="00CE7331"/>
    <w:rsid w:val="00CE75C3"/>
    <w:rsid w:val="00CF04F8"/>
    <w:rsid w:val="00CF0757"/>
    <w:rsid w:val="00CF0804"/>
    <w:rsid w:val="00CF0EED"/>
    <w:rsid w:val="00CF18A6"/>
    <w:rsid w:val="00CF27AF"/>
    <w:rsid w:val="00CF2833"/>
    <w:rsid w:val="00CF29E2"/>
    <w:rsid w:val="00CF32DB"/>
    <w:rsid w:val="00CF383B"/>
    <w:rsid w:val="00CF4451"/>
    <w:rsid w:val="00CF453A"/>
    <w:rsid w:val="00CF48BD"/>
    <w:rsid w:val="00CF5EA0"/>
    <w:rsid w:val="00CF6CF4"/>
    <w:rsid w:val="00CF74B6"/>
    <w:rsid w:val="00CF7621"/>
    <w:rsid w:val="00D0022F"/>
    <w:rsid w:val="00D00258"/>
    <w:rsid w:val="00D006B7"/>
    <w:rsid w:val="00D0170B"/>
    <w:rsid w:val="00D018F0"/>
    <w:rsid w:val="00D01FA0"/>
    <w:rsid w:val="00D02EDA"/>
    <w:rsid w:val="00D0332D"/>
    <w:rsid w:val="00D0457A"/>
    <w:rsid w:val="00D04ABD"/>
    <w:rsid w:val="00D04B03"/>
    <w:rsid w:val="00D04CE2"/>
    <w:rsid w:val="00D04F24"/>
    <w:rsid w:val="00D052E7"/>
    <w:rsid w:val="00D0530A"/>
    <w:rsid w:val="00D057D4"/>
    <w:rsid w:val="00D06205"/>
    <w:rsid w:val="00D06417"/>
    <w:rsid w:val="00D06503"/>
    <w:rsid w:val="00D066F7"/>
    <w:rsid w:val="00D0697D"/>
    <w:rsid w:val="00D06B15"/>
    <w:rsid w:val="00D071FC"/>
    <w:rsid w:val="00D074A2"/>
    <w:rsid w:val="00D07A9A"/>
    <w:rsid w:val="00D101EC"/>
    <w:rsid w:val="00D1033C"/>
    <w:rsid w:val="00D106DB"/>
    <w:rsid w:val="00D10782"/>
    <w:rsid w:val="00D107C1"/>
    <w:rsid w:val="00D1163A"/>
    <w:rsid w:val="00D11B0C"/>
    <w:rsid w:val="00D11F97"/>
    <w:rsid w:val="00D122DC"/>
    <w:rsid w:val="00D12A4D"/>
    <w:rsid w:val="00D133ED"/>
    <w:rsid w:val="00D13D1B"/>
    <w:rsid w:val="00D13DFD"/>
    <w:rsid w:val="00D13F9C"/>
    <w:rsid w:val="00D13FBE"/>
    <w:rsid w:val="00D14635"/>
    <w:rsid w:val="00D151A3"/>
    <w:rsid w:val="00D152FA"/>
    <w:rsid w:val="00D157DD"/>
    <w:rsid w:val="00D15AE0"/>
    <w:rsid w:val="00D15C86"/>
    <w:rsid w:val="00D16FFD"/>
    <w:rsid w:val="00D1775E"/>
    <w:rsid w:val="00D17C74"/>
    <w:rsid w:val="00D207C0"/>
    <w:rsid w:val="00D21A70"/>
    <w:rsid w:val="00D21B0A"/>
    <w:rsid w:val="00D21E2A"/>
    <w:rsid w:val="00D2209F"/>
    <w:rsid w:val="00D2223C"/>
    <w:rsid w:val="00D22616"/>
    <w:rsid w:val="00D22620"/>
    <w:rsid w:val="00D226A0"/>
    <w:rsid w:val="00D22F7C"/>
    <w:rsid w:val="00D23147"/>
    <w:rsid w:val="00D23575"/>
    <w:rsid w:val="00D238EF"/>
    <w:rsid w:val="00D244A1"/>
    <w:rsid w:val="00D2562D"/>
    <w:rsid w:val="00D258FC"/>
    <w:rsid w:val="00D25965"/>
    <w:rsid w:val="00D263AB"/>
    <w:rsid w:val="00D26722"/>
    <w:rsid w:val="00D2707B"/>
    <w:rsid w:val="00D274D3"/>
    <w:rsid w:val="00D2790B"/>
    <w:rsid w:val="00D27BEC"/>
    <w:rsid w:val="00D27FFC"/>
    <w:rsid w:val="00D3013E"/>
    <w:rsid w:val="00D31085"/>
    <w:rsid w:val="00D31630"/>
    <w:rsid w:val="00D32A88"/>
    <w:rsid w:val="00D32AEF"/>
    <w:rsid w:val="00D32EAA"/>
    <w:rsid w:val="00D331B0"/>
    <w:rsid w:val="00D331F3"/>
    <w:rsid w:val="00D33663"/>
    <w:rsid w:val="00D336E8"/>
    <w:rsid w:val="00D34594"/>
    <w:rsid w:val="00D3526D"/>
    <w:rsid w:val="00D359FA"/>
    <w:rsid w:val="00D37CAC"/>
    <w:rsid w:val="00D37DE5"/>
    <w:rsid w:val="00D406BB"/>
    <w:rsid w:val="00D409D1"/>
    <w:rsid w:val="00D40ADB"/>
    <w:rsid w:val="00D40CA6"/>
    <w:rsid w:val="00D40F24"/>
    <w:rsid w:val="00D40FC4"/>
    <w:rsid w:val="00D41217"/>
    <w:rsid w:val="00D417F5"/>
    <w:rsid w:val="00D41854"/>
    <w:rsid w:val="00D41FDF"/>
    <w:rsid w:val="00D420A4"/>
    <w:rsid w:val="00D42524"/>
    <w:rsid w:val="00D42DFC"/>
    <w:rsid w:val="00D437D0"/>
    <w:rsid w:val="00D4411A"/>
    <w:rsid w:val="00D44262"/>
    <w:rsid w:val="00D4500A"/>
    <w:rsid w:val="00D451B9"/>
    <w:rsid w:val="00D45732"/>
    <w:rsid w:val="00D45800"/>
    <w:rsid w:val="00D45F50"/>
    <w:rsid w:val="00D46ACA"/>
    <w:rsid w:val="00D46AE9"/>
    <w:rsid w:val="00D470EF"/>
    <w:rsid w:val="00D47340"/>
    <w:rsid w:val="00D47B01"/>
    <w:rsid w:val="00D50096"/>
    <w:rsid w:val="00D50A76"/>
    <w:rsid w:val="00D50C47"/>
    <w:rsid w:val="00D51398"/>
    <w:rsid w:val="00D51FC9"/>
    <w:rsid w:val="00D51FFD"/>
    <w:rsid w:val="00D52444"/>
    <w:rsid w:val="00D5357A"/>
    <w:rsid w:val="00D5398F"/>
    <w:rsid w:val="00D54665"/>
    <w:rsid w:val="00D547E8"/>
    <w:rsid w:val="00D549B0"/>
    <w:rsid w:val="00D56251"/>
    <w:rsid w:val="00D565F2"/>
    <w:rsid w:val="00D56653"/>
    <w:rsid w:val="00D56963"/>
    <w:rsid w:val="00D56CE0"/>
    <w:rsid w:val="00D57269"/>
    <w:rsid w:val="00D57319"/>
    <w:rsid w:val="00D57807"/>
    <w:rsid w:val="00D57A16"/>
    <w:rsid w:val="00D57A21"/>
    <w:rsid w:val="00D57C80"/>
    <w:rsid w:val="00D57DF9"/>
    <w:rsid w:val="00D60986"/>
    <w:rsid w:val="00D60D67"/>
    <w:rsid w:val="00D618F9"/>
    <w:rsid w:val="00D61CB4"/>
    <w:rsid w:val="00D625C9"/>
    <w:rsid w:val="00D62ACE"/>
    <w:rsid w:val="00D630BB"/>
    <w:rsid w:val="00D63530"/>
    <w:rsid w:val="00D6355E"/>
    <w:rsid w:val="00D63FC6"/>
    <w:rsid w:val="00D642C1"/>
    <w:rsid w:val="00D64502"/>
    <w:rsid w:val="00D6475B"/>
    <w:rsid w:val="00D64837"/>
    <w:rsid w:val="00D64838"/>
    <w:rsid w:val="00D64C49"/>
    <w:rsid w:val="00D64CCD"/>
    <w:rsid w:val="00D652A4"/>
    <w:rsid w:val="00D65406"/>
    <w:rsid w:val="00D65781"/>
    <w:rsid w:val="00D6584F"/>
    <w:rsid w:val="00D65B3B"/>
    <w:rsid w:val="00D660AC"/>
    <w:rsid w:val="00D661BE"/>
    <w:rsid w:val="00D667CB"/>
    <w:rsid w:val="00D66C4C"/>
    <w:rsid w:val="00D67093"/>
    <w:rsid w:val="00D67335"/>
    <w:rsid w:val="00D67EA9"/>
    <w:rsid w:val="00D702A0"/>
    <w:rsid w:val="00D702F6"/>
    <w:rsid w:val="00D7033E"/>
    <w:rsid w:val="00D704A0"/>
    <w:rsid w:val="00D70CFC"/>
    <w:rsid w:val="00D716A5"/>
    <w:rsid w:val="00D7185E"/>
    <w:rsid w:val="00D7200D"/>
    <w:rsid w:val="00D726F2"/>
    <w:rsid w:val="00D72B51"/>
    <w:rsid w:val="00D72FC3"/>
    <w:rsid w:val="00D72FE3"/>
    <w:rsid w:val="00D73FFE"/>
    <w:rsid w:val="00D740A6"/>
    <w:rsid w:val="00D75699"/>
    <w:rsid w:val="00D75C99"/>
    <w:rsid w:val="00D771F2"/>
    <w:rsid w:val="00D77F46"/>
    <w:rsid w:val="00D803D5"/>
    <w:rsid w:val="00D803FD"/>
    <w:rsid w:val="00D805F4"/>
    <w:rsid w:val="00D80668"/>
    <w:rsid w:val="00D8096F"/>
    <w:rsid w:val="00D80CAF"/>
    <w:rsid w:val="00D80EE1"/>
    <w:rsid w:val="00D81120"/>
    <w:rsid w:val="00D81417"/>
    <w:rsid w:val="00D819E3"/>
    <w:rsid w:val="00D81B52"/>
    <w:rsid w:val="00D81C4E"/>
    <w:rsid w:val="00D82462"/>
    <w:rsid w:val="00D82636"/>
    <w:rsid w:val="00D82E11"/>
    <w:rsid w:val="00D82F14"/>
    <w:rsid w:val="00D83172"/>
    <w:rsid w:val="00D8414A"/>
    <w:rsid w:val="00D84FA9"/>
    <w:rsid w:val="00D85D50"/>
    <w:rsid w:val="00D86165"/>
    <w:rsid w:val="00D861F8"/>
    <w:rsid w:val="00D868DE"/>
    <w:rsid w:val="00D869E6"/>
    <w:rsid w:val="00D86BB0"/>
    <w:rsid w:val="00D877C4"/>
    <w:rsid w:val="00D87800"/>
    <w:rsid w:val="00D878BD"/>
    <w:rsid w:val="00D879F6"/>
    <w:rsid w:val="00D903C7"/>
    <w:rsid w:val="00D9041C"/>
    <w:rsid w:val="00D9152F"/>
    <w:rsid w:val="00D91DE2"/>
    <w:rsid w:val="00D91E9C"/>
    <w:rsid w:val="00D9315D"/>
    <w:rsid w:val="00D939E2"/>
    <w:rsid w:val="00D9445B"/>
    <w:rsid w:val="00D94C22"/>
    <w:rsid w:val="00D94E50"/>
    <w:rsid w:val="00D952A8"/>
    <w:rsid w:val="00D9565C"/>
    <w:rsid w:val="00D958BB"/>
    <w:rsid w:val="00D95B41"/>
    <w:rsid w:val="00D96711"/>
    <w:rsid w:val="00D96F92"/>
    <w:rsid w:val="00D975C7"/>
    <w:rsid w:val="00D976D5"/>
    <w:rsid w:val="00DA0169"/>
    <w:rsid w:val="00DA04BE"/>
    <w:rsid w:val="00DA05B2"/>
    <w:rsid w:val="00DA1CBE"/>
    <w:rsid w:val="00DA2006"/>
    <w:rsid w:val="00DA2BF5"/>
    <w:rsid w:val="00DA36EC"/>
    <w:rsid w:val="00DA3865"/>
    <w:rsid w:val="00DA3903"/>
    <w:rsid w:val="00DA3C4F"/>
    <w:rsid w:val="00DA4500"/>
    <w:rsid w:val="00DA498B"/>
    <w:rsid w:val="00DA4ED6"/>
    <w:rsid w:val="00DA650F"/>
    <w:rsid w:val="00DA69CE"/>
    <w:rsid w:val="00DA750B"/>
    <w:rsid w:val="00DA7577"/>
    <w:rsid w:val="00DA7841"/>
    <w:rsid w:val="00DA7A9B"/>
    <w:rsid w:val="00DA7D51"/>
    <w:rsid w:val="00DB02E2"/>
    <w:rsid w:val="00DB0D96"/>
    <w:rsid w:val="00DB1023"/>
    <w:rsid w:val="00DB10D1"/>
    <w:rsid w:val="00DB2013"/>
    <w:rsid w:val="00DB217C"/>
    <w:rsid w:val="00DB219A"/>
    <w:rsid w:val="00DB238B"/>
    <w:rsid w:val="00DB24BE"/>
    <w:rsid w:val="00DB256B"/>
    <w:rsid w:val="00DB2962"/>
    <w:rsid w:val="00DB2ED4"/>
    <w:rsid w:val="00DB3977"/>
    <w:rsid w:val="00DB44BD"/>
    <w:rsid w:val="00DB4532"/>
    <w:rsid w:val="00DB4621"/>
    <w:rsid w:val="00DB4996"/>
    <w:rsid w:val="00DB5D9E"/>
    <w:rsid w:val="00DB708B"/>
    <w:rsid w:val="00DB746F"/>
    <w:rsid w:val="00DB797A"/>
    <w:rsid w:val="00DB7D06"/>
    <w:rsid w:val="00DC0676"/>
    <w:rsid w:val="00DC0C6A"/>
    <w:rsid w:val="00DC0E81"/>
    <w:rsid w:val="00DC1761"/>
    <w:rsid w:val="00DC1DA0"/>
    <w:rsid w:val="00DC256F"/>
    <w:rsid w:val="00DC298E"/>
    <w:rsid w:val="00DC2DEA"/>
    <w:rsid w:val="00DC39B7"/>
    <w:rsid w:val="00DC41A3"/>
    <w:rsid w:val="00DC4370"/>
    <w:rsid w:val="00DC4F4A"/>
    <w:rsid w:val="00DC5149"/>
    <w:rsid w:val="00DC52D2"/>
    <w:rsid w:val="00DC56D1"/>
    <w:rsid w:val="00DC58B1"/>
    <w:rsid w:val="00DC5F3B"/>
    <w:rsid w:val="00DC650B"/>
    <w:rsid w:val="00DC681F"/>
    <w:rsid w:val="00DC6CF6"/>
    <w:rsid w:val="00DC71A4"/>
    <w:rsid w:val="00DD1054"/>
    <w:rsid w:val="00DD169D"/>
    <w:rsid w:val="00DD1FA5"/>
    <w:rsid w:val="00DD1FA7"/>
    <w:rsid w:val="00DD268A"/>
    <w:rsid w:val="00DD297E"/>
    <w:rsid w:val="00DD3542"/>
    <w:rsid w:val="00DD4605"/>
    <w:rsid w:val="00DD485B"/>
    <w:rsid w:val="00DD5490"/>
    <w:rsid w:val="00DD5AF3"/>
    <w:rsid w:val="00DD634B"/>
    <w:rsid w:val="00DD66BC"/>
    <w:rsid w:val="00DD6B44"/>
    <w:rsid w:val="00DD6BA8"/>
    <w:rsid w:val="00DD72ED"/>
    <w:rsid w:val="00DD77D7"/>
    <w:rsid w:val="00DD7CFE"/>
    <w:rsid w:val="00DE04A1"/>
    <w:rsid w:val="00DE07B9"/>
    <w:rsid w:val="00DE07E9"/>
    <w:rsid w:val="00DE1919"/>
    <w:rsid w:val="00DE1EFE"/>
    <w:rsid w:val="00DE2C2B"/>
    <w:rsid w:val="00DE30A5"/>
    <w:rsid w:val="00DE37B8"/>
    <w:rsid w:val="00DE38DC"/>
    <w:rsid w:val="00DE38F3"/>
    <w:rsid w:val="00DE432E"/>
    <w:rsid w:val="00DE484F"/>
    <w:rsid w:val="00DE486E"/>
    <w:rsid w:val="00DE4AF9"/>
    <w:rsid w:val="00DE4F5A"/>
    <w:rsid w:val="00DE53AA"/>
    <w:rsid w:val="00DE6462"/>
    <w:rsid w:val="00DE659A"/>
    <w:rsid w:val="00DE69C1"/>
    <w:rsid w:val="00DE6C68"/>
    <w:rsid w:val="00DE6D56"/>
    <w:rsid w:val="00DE73C7"/>
    <w:rsid w:val="00DF043C"/>
    <w:rsid w:val="00DF080E"/>
    <w:rsid w:val="00DF0AA6"/>
    <w:rsid w:val="00DF0F8F"/>
    <w:rsid w:val="00DF13E6"/>
    <w:rsid w:val="00DF1FD0"/>
    <w:rsid w:val="00DF2513"/>
    <w:rsid w:val="00DF2784"/>
    <w:rsid w:val="00DF3318"/>
    <w:rsid w:val="00DF3CB8"/>
    <w:rsid w:val="00DF4B60"/>
    <w:rsid w:val="00DF4C20"/>
    <w:rsid w:val="00DF5174"/>
    <w:rsid w:val="00DF517E"/>
    <w:rsid w:val="00DF572B"/>
    <w:rsid w:val="00DF58E0"/>
    <w:rsid w:val="00DF5A72"/>
    <w:rsid w:val="00DF5ACD"/>
    <w:rsid w:val="00DF6244"/>
    <w:rsid w:val="00DF6702"/>
    <w:rsid w:val="00DF687D"/>
    <w:rsid w:val="00DF696A"/>
    <w:rsid w:val="00DF6C33"/>
    <w:rsid w:val="00DF6DFF"/>
    <w:rsid w:val="00DF7840"/>
    <w:rsid w:val="00DF7BE7"/>
    <w:rsid w:val="00DF7EFA"/>
    <w:rsid w:val="00E00185"/>
    <w:rsid w:val="00E00506"/>
    <w:rsid w:val="00E00F21"/>
    <w:rsid w:val="00E01638"/>
    <w:rsid w:val="00E022FC"/>
    <w:rsid w:val="00E02D15"/>
    <w:rsid w:val="00E03268"/>
    <w:rsid w:val="00E033A4"/>
    <w:rsid w:val="00E034FE"/>
    <w:rsid w:val="00E03587"/>
    <w:rsid w:val="00E03A1D"/>
    <w:rsid w:val="00E05D94"/>
    <w:rsid w:val="00E0620F"/>
    <w:rsid w:val="00E06755"/>
    <w:rsid w:val="00E06ABC"/>
    <w:rsid w:val="00E06C42"/>
    <w:rsid w:val="00E0700C"/>
    <w:rsid w:val="00E0786C"/>
    <w:rsid w:val="00E07CAD"/>
    <w:rsid w:val="00E07D07"/>
    <w:rsid w:val="00E10C85"/>
    <w:rsid w:val="00E11360"/>
    <w:rsid w:val="00E13044"/>
    <w:rsid w:val="00E136BF"/>
    <w:rsid w:val="00E13C5E"/>
    <w:rsid w:val="00E13C62"/>
    <w:rsid w:val="00E14B07"/>
    <w:rsid w:val="00E14C38"/>
    <w:rsid w:val="00E14FF6"/>
    <w:rsid w:val="00E15219"/>
    <w:rsid w:val="00E15FC6"/>
    <w:rsid w:val="00E16085"/>
    <w:rsid w:val="00E161E3"/>
    <w:rsid w:val="00E20471"/>
    <w:rsid w:val="00E209F1"/>
    <w:rsid w:val="00E20C07"/>
    <w:rsid w:val="00E20C1B"/>
    <w:rsid w:val="00E20CC9"/>
    <w:rsid w:val="00E21277"/>
    <w:rsid w:val="00E21385"/>
    <w:rsid w:val="00E214D0"/>
    <w:rsid w:val="00E21C3A"/>
    <w:rsid w:val="00E21E8E"/>
    <w:rsid w:val="00E23089"/>
    <w:rsid w:val="00E2373D"/>
    <w:rsid w:val="00E23BD5"/>
    <w:rsid w:val="00E23FB7"/>
    <w:rsid w:val="00E24569"/>
    <w:rsid w:val="00E24B21"/>
    <w:rsid w:val="00E24B88"/>
    <w:rsid w:val="00E24B97"/>
    <w:rsid w:val="00E25073"/>
    <w:rsid w:val="00E25A16"/>
    <w:rsid w:val="00E25A63"/>
    <w:rsid w:val="00E25D85"/>
    <w:rsid w:val="00E27374"/>
    <w:rsid w:val="00E27925"/>
    <w:rsid w:val="00E30A73"/>
    <w:rsid w:val="00E30BDA"/>
    <w:rsid w:val="00E315E0"/>
    <w:rsid w:val="00E31BF8"/>
    <w:rsid w:val="00E324B6"/>
    <w:rsid w:val="00E32727"/>
    <w:rsid w:val="00E332F1"/>
    <w:rsid w:val="00E33F49"/>
    <w:rsid w:val="00E33FCD"/>
    <w:rsid w:val="00E3404C"/>
    <w:rsid w:val="00E346FD"/>
    <w:rsid w:val="00E34713"/>
    <w:rsid w:val="00E34C95"/>
    <w:rsid w:val="00E35523"/>
    <w:rsid w:val="00E35717"/>
    <w:rsid w:val="00E35EAF"/>
    <w:rsid w:val="00E3610B"/>
    <w:rsid w:val="00E36562"/>
    <w:rsid w:val="00E36ABA"/>
    <w:rsid w:val="00E36E9A"/>
    <w:rsid w:val="00E37287"/>
    <w:rsid w:val="00E37537"/>
    <w:rsid w:val="00E37698"/>
    <w:rsid w:val="00E40785"/>
    <w:rsid w:val="00E407EF"/>
    <w:rsid w:val="00E418E6"/>
    <w:rsid w:val="00E42C33"/>
    <w:rsid w:val="00E44C6C"/>
    <w:rsid w:val="00E45060"/>
    <w:rsid w:val="00E45767"/>
    <w:rsid w:val="00E4597B"/>
    <w:rsid w:val="00E461A2"/>
    <w:rsid w:val="00E4634D"/>
    <w:rsid w:val="00E4675D"/>
    <w:rsid w:val="00E47272"/>
    <w:rsid w:val="00E472B0"/>
    <w:rsid w:val="00E472E9"/>
    <w:rsid w:val="00E4739D"/>
    <w:rsid w:val="00E47CF3"/>
    <w:rsid w:val="00E500A8"/>
    <w:rsid w:val="00E50949"/>
    <w:rsid w:val="00E50E4A"/>
    <w:rsid w:val="00E51DC8"/>
    <w:rsid w:val="00E51F08"/>
    <w:rsid w:val="00E525B2"/>
    <w:rsid w:val="00E53984"/>
    <w:rsid w:val="00E53E50"/>
    <w:rsid w:val="00E5404F"/>
    <w:rsid w:val="00E54BFE"/>
    <w:rsid w:val="00E55059"/>
    <w:rsid w:val="00E55358"/>
    <w:rsid w:val="00E554AF"/>
    <w:rsid w:val="00E55A33"/>
    <w:rsid w:val="00E56358"/>
    <w:rsid w:val="00E571C8"/>
    <w:rsid w:val="00E578D7"/>
    <w:rsid w:val="00E57A18"/>
    <w:rsid w:val="00E57CD9"/>
    <w:rsid w:val="00E6043F"/>
    <w:rsid w:val="00E60827"/>
    <w:rsid w:val="00E60B7E"/>
    <w:rsid w:val="00E60EDF"/>
    <w:rsid w:val="00E61075"/>
    <w:rsid w:val="00E61A96"/>
    <w:rsid w:val="00E6222E"/>
    <w:rsid w:val="00E63057"/>
    <w:rsid w:val="00E64B73"/>
    <w:rsid w:val="00E64E67"/>
    <w:rsid w:val="00E650CB"/>
    <w:rsid w:val="00E65D7B"/>
    <w:rsid w:val="00E66B40"/>
    <w:rsid w:val="00E6709D"/>
    <w:rsid w:val="00E67154"/>
    <w:rsid w:val="00E701F0"/>
    <w:rsid w:val="00E70730"/>
    <w:rsid w:val="00E70A08"/>
    <w:rsid w:val="00E70C46"/>
    <w:rsid w:val="00E71033"/>
    <w:rsid w:val="00E718C5"/>
    <w:rsid w:val="00E71D3D"/>
    <w:rsid w:val="00E71F09"/>
    <w:rsid w:val="00E725A4"/>
    <w:rsid w:val="00E72D6D"/>
    <w:rsid w:val="00E73D72"/>
    <w:rsid w:val="00E73EF3"/>
    <w:rsid w:val="00E74454"/>
    <w:rsid w:val="00E75984"/>
    <w:rsid w:val="00E75A96"/>
    <w:rsid w:val="00E76209"/>
    <w:rsid w:val="00E7624A"/>
    <w:rsid w:val="00E80A87"/>
    <w:rsid w:val="00E80D7D"/>
    <w:rsid w:val="00E80E33"/>
    <w:rsid w:val="00E80F31"/>
    <w:rsid w:val="00E81048"/>
    <w:rsid w:val="00E815DA"/>
    <w:rsid w:val="00E81C1B"/>
    <w:rsid w:val="00E83007"/>
    <w:rsid w:val="00E836C4"/>
    <w:rsid w:val="00E83CB8"/>
    <w:rsid w:val="00E84870"/>
    <w:rsid w:val="00E848C5"/>
    <w:rsid w:val="00E84BC1"/>
    <w:rsid w:val="00E84C60"/>
    <w:rsid w:val="00E85E0A"/>
    <w:rsid w:val="00E86651"/>
    <w:rsid w:val="00E86E8B"/>
    <w:rsid w:val="00E874D9"/>
    <w:rsid w:val="00E879E0"/>
    <w:rsid w:val="00E90AFD"/>
    <w:rsid w:val="00E90F57"/>
    <w:rsid w:val="00E90F9D"/>
    <w:rsid w:val="00E9151D"/>
    <w:rsid w:val="00E92CC4"/>
    <w:rsid w:val="00E92F86"/>
    <w:rsid w:val="00E93224"/>
    <w:rsid w:val="00E93776"/>
    <w:rsid w:val="00E939FF"/>
    <w:rsid w:val="00E93E6B"/>
    <w:rsid w:val="00E93E9A"/>
    <w:rsid w:val="00E93ED1"/>
    <w:rsid w:val="00E940AE"/>
    <w:rsid w:val="00E94A5F"/>
    <w:rsid w:val="00E94AE2"/>
    <w:rsid w:val="00E95A8D"/>
    <w:rsid w:val="00E95CD2"/>
    <w:rsid w:val="00E95FAE"/>
    <w:rsid w:val="00E96F8F"/>
    <w:rsid w:val="00E977BB"/>
    <w:rsid w:val="00E9788E"/>
    <w:rsid w:val="00E97BE9"/>
    <w:rsid w:val="00E97D04"/>
    <w:rsid w:val="00E9ABEE"/>
    <w:rsid w:val="00EA05C7"/>
    <w:rsid w:val="00EA0912"/>
    <w:rsid w:val="00EA0CDA"/>
    <w:rsid w:val="00EA11DD"/>
    <w:rsid w:val="00EA161A"/>
    <w:rsid w:val="00EA1916"/>
    <w:rsid w:val="00EA1A63"/>
    <w:rsid w:val="00EA2FC5"/>
    <w:rsid w:val="00EA300B"/>
    <w:rsid w:val="00EA3322"/>
    <w:rsid w:val="00EA36B1"/>
    <w:rsid w:val="00EA399A"/>
    <w:rsid w:val="00EA3DA0"/>
    <w:rsid w:val="00EA406A"/>
    <w:rsid w:val="00EA4E39"/>
    <w:rsid w:val="00EA507B"/>
    <w:rsid w:val="00EA5A5D"/>
    <w:rsid w:val="00EA6467"/>
    <w:rsid w:val="00EA6719"/>
    <w:rsid w:val="00EA69EB"/>
    <w:rsid w:val="00EA6D05"/>
    <w:rsid w:val="00EA718C"/>
    <w:rsid w:val="00EA7899"/>
    <w:rsid w:val="00EA7CE4"/>
    <w:rsid w:val="00EB05C7"/>
    <w:rsid w:val="00EB0A6E"/>
    <w:rsid w:val="00EB1052"/>
    <w:rsid w:val="00EB18DC"/>
    <w:rsid w:val="00EB1AFD"/>
    <w:rsid w:val="00EB211E"/>
    <w:rsid w:val="00EB239D"/>
    <w:rsid w:val="00EB2762"/>
    <w:rsid w:val="00EB2DD0"/>
    <w:rsid w:val="00EB3108"/>
    <w:rsid w:val="00EB34E9"/>
    <w:rsid w:val="00EB38B2"/>
    <w:rsid w:val="00EB39B8"/>
    <w:rsid w:val="00EB3C2B"/>
    <w:rsid w:val="00EB3D2B"/>
    <w:rsid w:val="00EB41CA"/>
    <w:rsid w:val="00EB464B"/>
    <w:rsid w:val="00EB526F"/>
    <w:rsid w:val="00EB5416"/>
    <w:rsid w:val="00EB6577"/>
    <w:rsid w:val="00EB702A"/>
    <w:rsid w:val="00EC02A0"/>
    <w:rsid w:val="00EC0365"/>
    <w:rsid w:val="00EC0D0C"/>
    <w:rsid w:val="00EC10BC"/>
    <w:rsid w:val="00EC128B"/>
    <w:rsid w:val="00EC1B91"/>
    <w:rsid w:val="00EC23CA"/>
    <w:rsid w:val="00EC29A9"/>
    <w:rsid w:val="00EC314D"/>
    <w:rsid w:val="00EC3DBF"/>
    <w:rsid w:val="00EC4124"/>
    <w:rsid w:val="00EC4216"/>
    <w:rsid w:val="00EC4328"/>
    <w:rsid w:val="00EC44F1"/>
    <w:rsid w:val="00EC54C6"/>
    <w:rsid w:val="00EC567D"/>
    <w:rsid w:val="00EC570A"/>
    <w:rsid w:val="00EC58CD"/>
    <w:rsid w:val="00EC594F"/>
    <w:rsid w:val="00EC5D95"/>
    <w:rsid w:val="00EC65F9"/>
    <w:rsid w:val="00EC6A84"/>
    <w:rsid w:val="00EC6C04"/>
    <w:rsid w:val="00EC7069"/>
    <w:rsid w:val="00EC7705"/>
    <w:rsid w:val="00EC7B23"/>
    <w:rsid w:val="00ED00F1"/>
    <w:rsid w:val="00ED01B1"/>
    <w:rsid w:val="00ED0857"/>
    <w:rsid w:val="00ED1248"/>
    <w:rsid w:val="00ED167D"/>
    <w:rsid w:val="00ED1AB4"/>
    <w:rsid w:val="00ED30EA"/>
    <w:rsid w:val="00ED3ECE"/>
    <w:rsid w:val="00ED405D"/>
    <w:rsid w:val="00ED43FF"/>
    <w:rsid w:val="00ED4486"/>
    <w:rsid w:val="00ED4A93"/>
    <w:rsid w:val="00ED55B2"/>
    <w:rsid w:val="00ED58C8"/>
    <w:rsid w:val="00ED60E3"/>
    <w:rsid w:val="00ED6115"/>
    <w:rsid w:val="00ED628A"/>
    <w:rsid w:val="00ED69F0"/>
    <w:rsid w:val="00ED6AB3"/>
    <w:rsid w:val="00ED6AE3"/>
    <w:rsid w:val="00ED7198"/>
    <w:rsid w:val="00EE0081"/>
    <w:rsid w:val="00EE030C"/>
    <w:rsid w:val="00EE0839"/>
    <w:rsid w:val="00EE0A1A"/>
    <w:rsid w:val="00EE1689"/>
    <w:rsid w:val="00EE19EB"/>
    <w:rsid w:val="00EE2418"/>
    <w:rsid w:val="00EE3AE2"/>
    <w:rsid w:val="00EE3F9E"/>
    <w:rsid w:val="00EE444B"/>
    <w:rsid w:val="00EE4730"/>
    <w:rsid w:val="00EE4BEC"/>
    <w:rsid w:val="00EE4D27"/>
    <w:rsid w:val="00EE59B7"/>
    <w:rsid w:val="00EE604B"/>
    <w:rsid w:val="00EE605A"/>
    <w:rsid w:val="00EE6211"/>
    <w:rsid w:val="00EE63C6"/>
    <w:rsid w:val="00EE7DC1"/>
    <w:rsid w:val="00EF05CD"/>
    <w:rsid w:val="00EF06F0"/>
    <w:rsid w:val="00EF0790"/>
    <w:rsid w:val="00EF0CD3"/>
    <w:rsid w:val="00EF1BC5"/>
    <w:rsid w:val="00EF1EA8"/>
    <w:rsid w:val="00EF1EC4"/>
    <w:rsid w:val="00EF2973"/>
    <w:rsid w:val="00EF2B57"/>
    <w:rsid w:val="00EF3780"/>
    <w:rsid w:val="00EF3BFE"/>
    <w:rsid w:val="00EF3DFC"/>
    <w:rsid w:val="00EF4597"/>
    <w:rsid w:val="00EF459F"/>
    <w:rsid w:val="00EF4B0D"/>
    <w:rsid w:val="00EF4ECE"/>
    <w:rsid w:val="00EF5A05"/>
    <w:rsid w:val="00EF5F03"/>
    <w:rsid w:val="00EF60FC"/>
    <w:rsid w:val="00EF6956"/>
    <w:rsid w:val="00EF73B3"/>
    <w:rsid w:val="00F00568"/>
    <w:rsid w:val="00F00D3D"/>
    <w:rsid w:val="00F00D54"/>
    <w:rsid w:val="00F00ECD"/>
    <w:rsid w:val="00F0134B"/>
    <w:rsid w:val="00F01595"/>
    <w:rsid w:val="00F01D99"/>
    <w:rsid w:val="00F01ED2"/>
    <w:rsid w:val="00F022D0"/>
    <w:rsid w:val="00F02325"/>
    <w:rsid w:val="00F02C88"/>
    <w:rsid w:val="00F02E8C"/>
    <w:rsid w:val="00F036FA"/>
    <w:rsid w:val="00F03DF9"/>
    <w:rsid w:val="00F04309"/>
    <w:rsid w:val="00F0451C"/>
    <w:rsid w:val="00F04582"/>
    <w:rsid w:val="00F04C49"/>
    <w:rsid w:val="00F0534B"/>
    <w:rsid w:val="00F05628"/>
    <w:rsid w:val="00F05673"/>
    <w:rsid w:val="00F0584B"/>
    <w:rsid w:val="00F05A28"/>
    <w:rsid w:val="00F05BC9"/>
    <w:rsid w:val="00F05CD1"/>
    <w:rsid w:val="00F061A4"/>
    <w:rsid w:val="00F06219"/>
    <w:rsid w:val="00F06867"/>
    <w:rsid w:val="00F0721C"/>
    <w:rsid w:val="00F07374"/>
    <w:rsid w:val="00F077D3"/>
    <w:rsid w:val="00F104F8"/>
    <w:rsid w:val="00F11720"/>
    <w:rsid w:val="00F11B27"/>
    <w:rsid w:val="00F11C9A"/>
    <w:rsid w:val="00F13432"/>
    <w:rsid w:val="00F14605"/>
    <w:rsid w:val="00F15057"/>
    <w:rsid w:val="00F15519"/>
    <w:rsid w:val="00F15F37"/>
    <w:rsid w:val="00F1659C"/>
    <w:rsid w:val="00F1676B"/>
    <w:rsid w:val="00F17A6B"/>
    <w:rsid w:val="00F20793"/>
    <w:rsid w:val="00F211CA"/>
    <w:rsid w:val="00F214BD"/>
    <w:rsid w:val="00F216DE"/>
    <w:rsid w:val="00F21775"/>
    <w:rsid w:val="00F21D27"/>
    <w:rsid w:val="00F22488"/>
    <w:rsid w:val="00F226FB"/>
    <w:rsid w:val="00F2291A"/>
    <w:rsid w:val="00F22AB3"/>
    <w:rsid w:val="00F23AA5"/>
    <w:rsid w:val="00F23AAF"/>
    <w:rsid w:val="00F23FCD"/>
    <w:rsid w:val="00F24562"/>
    <w:rsid w:val="00F2492F"/>
    <w:rsid w:val="00F25501"/>
    <w:rsid w:val="00F25912"/>
    <w:rsid w:val="00F262A6"/>
    <w:rsid w:val="00F269EA"/>
    <w:rsid w:val="00F2731F"/>
    <w:rsid w:val="00F27500"/>
    <w:rsid w:val="00F30BB4"/>
    <w:rsid w:val="00F3140C"/>
    <w:rsid w:val="00F31510"/>
    <w:rsid w:val="00F3161B"/>
    <w:rsid w:val="00F31935"/>
    <w:rsid w:val="00F31CFA"/>
    <w:rsid w:val="00F32024"/>
    <w:rsid w:val="00F32AD5"/>
    <w:rsid w:val="00F3328E"/>
    <w:rsid w:val="00F3332E"/>
    <w:rsid w:val="00F334A8"/>
    <w:rsid w:val="00F33960"/>
    <w:rsid w:val="00F33D90"/>
    <w:rsid w:val="00F3400A"/>
    <w:rsid w:val="00F3440D"/>
    <w:rsid w:val="00F3516F"/>
    <w:rsid w:val="00F35202"/>
    <w:rsid w:val="00F35527"/>
    <w:rsid w:val="00F35D70"/>
    <w:rsid w:val="00F362DB"/>
    <w:rsid w:val="00F36585"/>
    <w:rsid w:val="00F365D7"/>
    <w:rsid w:val="00F36633"/>
    <w:rsid w:val="00F36E67"/>
    <w:rsid w:val="00F371E5"/>
    <w:rsid w:val="00F375B4"/>
    <w:rsid w:val="00F37A31"/>
    <w:rsid w:val="00F37B50"/>
    <w:rsid w:val="00F37E99"/>
    <w:rsid w:val="00F37F4F"/>
    <w:rsid w:val="00F4048B"/>
    <w:rsid w:val="00F40AB5"/>
    <w:rsid w:val="00F40B27"/>
    <w:rsid w:val="00F41C72"/>
    <w:rsid w:val="00F41C97"/>
    <w:rsid w:val="00F41E9F"/>
    <w:rsid w:val="00F42425"/>
    <w:rsid w:val="00F42B2F"/>
    <w:rsid w:val="00F42E7A"/>
    <w:rsid w:val="00F42FE2"/>
    <w:rsid w:val="00F43AAE"/>
    <w:rsid w:val="00F4468C"/>
    <w:rsid w:val="00F452F8"/>
    <w:rsid w:val="00F45378"/>
    <w:rsid w:val="00F45953"/>
    <w:rsid w:val="00F4741A"/>
    <w:rsid w:val="00F506B0"/>
    <w:rsid w:val="00F50B0E"/>
    <w:rsid w:val="00F50DFF"/>
    <w:rsid w:val="00F50F99"/>
    <w:rsid w:val="00F519F6"/>
    <w:rsid w:val="00F52459"/>
    <w:rsid w:val="00F52BC3"/>
    <w:rsid w:val="00F52BD7"/>
    <w:rsid w:val="00F52BF5"/>
    <w:rsid w:val="00F533CB"/>
    <w:rsid w:val="00F53614"/>
    <w:rsid w:val="00F53D58"/>
    <w:rsid w:val="00F53E82"/>
    <w:rsid w:val="00F554EF"/>
    <w:rsid w:val="00F56762"/>
    <w:rsid w:val="00F56F36"/>
    <w:rsid w:val="00F57AAD"/>
    <w:rsid w:val="00F57C2A"/>
    <w:rsid w:val="00F5E6C7"/>
    <w:rsid w:val="00F60397"/>
    <w:rsid w:val="00F609A9"/>
    <w:rsid w:val="00F60B22"/>
    <w:rsid w:val="00F60C4D"/>
    <w:rsid w:val="00F60C4E"/>
    <w:rsid w:val="00F61320"/>
    <w:rsid w:val="00F61B9D"/>
    <w:rsid w:val="00F61CA4"/>
    <w:rsid w:val="00F622CD"/>
    <w:rsid w:val="00F629C4"/>
    <w:rsid w:val="00F62EFA"/>
    <w:rsid w:val="00F6394E"/>
    <w:rsid w:val="00F640AA"/>
    <w:rsid w:val="00F642B5"/>
    <w:rsid w:val="00F648B2"/>
    <w:rsid w:val="00F64A08"/>
    <w:rsid w:val="00F6656E"/>
    <w:rsid w:val="00F6677B"/>
    <w:rsid w:val="00F66AA9"/>
    <w:rsid w:val="00F6764E"/>
    <w:rsid w:val="00F67D1F"/>
    <w:rsid w:val="00F704B5"/>
    <w:rsid w:val="00F708F6"/>
    <w:rsid w:val="00F70B19"/>
    <w:rsid w:val="00F70F3F"/>
    <w:rsid w:val="00F711D0"/>
    <w:rsid w:val="00F711F7"/>
    <w:rsid w:val="00F71DF2"/>
    <w:rsid w:val="00F72554"/>
    <w:rsid w:val="00F728E5"/>
    <w:rsid w:val="00F72D02"/>
    <w:rsid w:val="00F73F79"/>
    <w:rsid w:val="00F744B3"/>
    <w:rsid w:val="00F75573"/>
    <w:rsid w:val="00F75978"/>
    <w:rsid w:val="00F769BD"/>
    <w:rsid w:val="00F77669"/>
    <w:rsid w:val="00F77C72"/>
    <w:rsid w:val="00F8026D"/>
    <w:rsid w:val="00F80829"/>
    <w:rsid w:val="00F808CE"/>
    <w:rsid w:val="00F80A37"/>
    <w:rsid w:val="00F80E5C"/>
    <w:rsid w:val="00F811E0"/>
    <w:rsid w:val="00F81546"/>
    <w:rsid w:val="00F81C54"/>
    <w:rsid w:val="00F81CD8"/>
    <w:rsid w:val="00F8239F"/>
    <w:rsid w:val="00F82D34"/>
    <w:rsid w:val="00F831C0"/>
    <w:rsid w:val="00F836CD"/>
    <w:rsid w:val="00F838A2"/>
    <w:rsid w:val="00F83992"/>
    <w:rsid w:val="00F83D0A"/>
    <w:rsid w:val="00F85D18"/>
    <w:rsid w:val="00F85FF8"/>
    <w:rsid w:val="00F86921"/>
    <w:rsid w:val="00F87B61"/>
    <w:rsid w:val="00F87D62"/>
    <w:rsid w:val="00F87D9F"/>
    <w:rsid w:val="00F90078"/>
    <w:rsid w:val="00F90181"/>
    <w:rsid w:val="00F90783"/>
    <w:rsid w:val="00F90864"/>
    <w:rsid w:val="00F91B67"/>
    <w:rsid w:val="00F920E1"/>
    <w:rsid w:val="00F9247A"/>
    <w:rsid w:val="00F927AA"/>
    <w:rsid w:val="00F92AC5"/>
    <w:rsid w:val="00F92B4D"/>
    <w:rsid w:val="00F93211"/>
    <w:rsid w:val="00F938AF"/>
    <w:rsid w:val="00F93D4D"/>
    <w:rsid w:val="00F9416A"/>
    <w:rsid w:val="00F941BA"/>
    <w:rsid w:val="00F94331"/>
    <w:rsid w:val="00F94FF8"/>
    <w:rsid w:val="00F95025"/>
    <w:rsid w:val="00F95A04"/>
    <w:rsid w:val="00F9607D"/>
    <w:rsid w:val="00F96BD6"/>
    <w:rsid w:val="00F96C2B"/>
    <w:rsid w:val="00F96CE5"/>
    <w:rsid w:val="00F97087"/>
    <w:rsid w:val="00F97DE5"/>
    <w:rsid w:val="00F97DFB"/>
    <w:rsid w:val="00FA0488"/>
    <w:rsid w:val="00FA0CDB"/>
    <w:rsid w:val="00FA0E6F"/>
    <w:rsid w:val="00FA1110"/>
    <w:rsid w:val="00FA1CA8"/>
    <w:rsid w:val="00FA1F10"/>
    <w:rsid w:val="00FA2824"/>
    <w:rsid w:val="00FA2BDC"/>
    <w:rsid w:val="00FA2E19"/>
    <w:rsid w:val="00FA394A"/>
    <w:rsid w:val="00FA3DF1"/>
    <w:rsid w:val="00FA4973"/>
    <w:rsid w:val="00FA5194"/>
    <w:rsid w:val="00FA561E"/>
    <w:rsid w:val="00FA6BFB"/>
    <w:rsid w:val="00FA72E8"/>
    <w:rsid w:val="00FA7460"/>
    <w:rsid w:val="00FA78B8"/>
    <w:rsid w:val="00FA7FDD"/>
    <w:rsid w:val="00FB0628"/>
    <w:rsid w:val="00FB0F75"/>
    <w:rsid w:val="00FB10CF"/>
    <w:rsid w:val="00FB19A4"/>
    <w:rsid w:val="00FB1F1B"/>
    <w:rsid w:val="00FB219C"/>
    <w:rsid w:val="00FB2CAC"/>
    <w:rsid w:val="00FB2EDF"/>
    <w:rsid w:val="00FB31E2"/>
    <w:rsid w:val="00FB32E7"/>
    <w:rsid w:val="00FB4861"/>
    <w:rsid w:val="00FB5022"/>
    <w:rsid w:val="00FB572B"/>
    <w:rsid w:val="00FB5BF7"/>
    <w:rsid w:val="00FB62D1"/>
    <w:rsid w:val="00FB6F79"/>
    <w:rsid w:val="00FB7A1E"/>
    <w:rsid w:val="00FC0BAD"/>
    <w:rsid w:val="00FC1028"/>
    <w:rsid w:val="00FC10B2"/>
    <w:rsid w:val="00FC15C9"/>
    <w:rsid w:val="00FC1799"/>
    <w:rsid w:val="00FC20EA"/>
    <w:rsid w:val="00FC23AE"/>
    <w:rsid w:val="00FC2BF2"/>
    <w:rsid w:val="00FC2E98"/>
    <w:rsid w:val="00FC3102"/>
    <w:rsid w:val="00FC31C0"/>
    <w:rsid w:val="00FC3414"/>
    <w:rsid w:val="00FC34DB"/>
    <w:rsid w:val="00FC3D64"/>
    <w:rsid w:val="00FC480D"/>
    <w:rsid w:val="00FC4BC0"/>
    <w:rsid w:val="00FC4EA6"/>
    <w:rsid w:val="00FC4FDC"/>
    <w:rsid w:val="00FC5003"/>
    <w:rsid w:val="00FC54BA"/>
    <w:rsid w:val="00FC5B92"/>
    <w:rsid w:val="00FC5D9B"/>
    <w:rsid w:val="00FC5EC6"/>
    <w:rsid w:val="00FC5FE5"/>
    <w:rsid w:val="00FC68C0"/>
    <w:rsid w:val="00FC68EC"/>
    <w:rsid w:val="00FC6D02"/>
    <w:rsid w:val="00FC710A"/>
    <w:rsid w:val="00FC7409"/>
    <w:rsid w:val="00FC795E"/>
    <w:rsid w:val="00FC7F51"/>
    <w:rsid w:val="00FC7FA1"/>
    <w:rsid w:val="00FD0415"/>
    <w:rsid w:val="00FD0AEF"/>
    <w:rsid w:val="00FD13E9"/>
    <w:rsid w:val="00FD13F7"/>
    <w:rsid w:val="00FD13FE"/>
    <w:rsid w:val="00FD19FC"/>
    <w:rsid w:val="00FD1CF9"/>
    <w:rsid w:val="00FD2077"/>
    <w:rsid w:val="00FD2330"/>
    <w:rsid w:val="00FD238C"/>
    <w:rsid w:val="00FD24FC"/>
    <w:rsid w:val="00FD2C04"/>
    <w:rsid w:val="00FD345B"/>
    <w:rsid w:val="00FD3A76"/>
    <w:rsid w:val="00FD43FC"/>
    <w:rsid w:val="00FD4402"/>
    <w:rsid w:val="00FD4EC2"/>
    <w:rsid w:val="00FD54BF"/>
    <w:rsid w:val="00FD565F"/>
    <w:rsid w:val="00FD5FE1"/>
    <w:rsid w:val="00FD5FFA"/>
    <w:rsid w:val="00FD6793"/>
    <w:rsid w:val="00FD6AB8"/>
    <w:rsid w:val="00FD6FE2"/>
    <w:rsid w:val="00FE01CE"/>
    <w:rsid w:val="00FE02E3"/>
    <w:rsid w:val="00FE0406"/>
    <w:rsid w:val="00FE0486"/>
    <w:rsid w:val="00FE0878"/>
    <w:rsid w:val="00FE1379"/>
    <w:rsid w:val="00FE20EE"/>
    <w:rsid w:val="00FE3393"/>
    <w:rsid w:val="00FE3705"/>
    <w:rsid w:val="00FE454F"/>
    <w:rsid w:val="00FE51E5"/>
    <w:rsid w:val="00FE56B0"/>
    <w:rsid w:val="00FE5939"/>
    <w:rsid w:val="00FE5BC1"/>
    <w:rsid w:val="00FE5C1A"/>
    <w:rsid w:val="00FE7907"/>
    <w:rsid w:val="00FE7993"/>
    <w:rsid w:val="00FE79CD"/>
    <w:rsid w:val="00FE7FFC"/>
    <w:rsid w:val="00FF0286"/>
    <w:rsid w:val="00FF0A6C"/>
    <w:rsid w:val="00FF0EC1"/>
    <w:rsid w:val="00FF0F55"/>
    <w:rsid w:val="00FF1721"/>
    <w:rsid w:val="00FF1DE1"/>
    <w:rsid w:val="00FF1EF5"/>
    <w:rsid w:val="00FF2448"/>
    <w:rsid w:val="00FF2AFF"/>
    <w:rsid w:val="00FF4D22"/>
    <w:rsid w:val="00FF5316"/>
    <w:rsid w:val="00FF54D3"/>
    <w:rsid w:val="00FF5507"/>
    <w:rsid w:val="00FF732E"/>
    <w:rsid w:val="00FF7BE8"/>
    <w:rsid w:val="0105CF5B"/>
    <w:rsid w:val="011D9386"/>
    <w:rsid w:val="014AE971"/>
    <w:rsid w:val="01585017"/>
    <w:rsid w:val="016A898E"/>
    <w:rsid w:val="0182050F"/>
    <w:rsid w:val="01821735"/>
    <w:rsid w:val="0188E969"/>
    <w:rsid w:val="0197370A"/>
    <w:rsid w:val="01A0707D"/>
    <w:rsid w:val="01B739CA"/>
    <w:rsid w:val="01BC1CE3"/>
    <w:rsid w:val="01DE5F11"/>
    <w:rsid w:val="01F65553"/>
    <w:rsid w:val="02151513"/>
    <w:rsid w:val="0215ABB3"/>
    <w:rsid w:val="0219A27B"/>
    <w:rsid w:val="02299538"/>
    <w:rsid w:val="0232FB69"/>
    <w:rsid w:val="0251C5C3"/>
    <w:rsid w:val="025C1A5E"/>
    <w:rsid w:val="025F2C2F"/>
    <w:rsid w:val="02691679"/>
    <w:rsid w:val="027186BA"/>
    <w:rsid w:val="02D59753"/>
    <w:rsid w:val="02FA5D9C"/>
    <w:rsid w:val="02FE14DA"/>
    <w:rsid w:val="030A5910"/>
    <w:rsid w:val="0345DC08"/>
    <w:rsid w:val="03460628"/>
    <w:rsid w:val="038CEC0A"/>
    <w:rsid w:val="0409E066"/>
    <w:rsid w:val="04204AF8"/>
    <w:rsid w:val="04255BAB"/>
    <w:rsid w:val="0435F596"/>
    <w:rsid w:val="0461B8DF"/>
    <w:rsid w:val="047BD58A"/>
    <w:rsid w:val="049238FD"/>
    <w:rsid w:val="04B96E01"/>
    <w:rsid w:val="04F94C96"/>
    <w:rsid w:val="04FD7B89"/>
    <w:rsid w:val="052A5292"/>
    <w:rsid w:val="0546AC9E"/>
    <w:rsid w:val="0555E4E1"/>
    <w:rsid w:val="05885ABA"/>
    <w:rsid w:val="05C34CC2"/>
    <w:rsid w:val="05E58BF2"/>
    <w:rsid w:val="0622F392"/>
    <w:rsid w:val="06321CCF"/>
    <w:rsid w:val="063973DC"/>
    <w:rsid w:val="064C6085"/>
    <w:rsid w:val="0664ED4A"/>
    <w:rsid w:val="067F5ED4"/>
    <w:rsid w:val="069A8736"/>
    <w:rsid w:val="069F935B"/>
    <w:rsid w:val="06A33FD5"/>
    <w:rsid w:val="06A4C9B4"/>
    <w:rsid w:val="06CBF69F"/>
    <w:rsid w:val="06DF73B4"/>
    <w:rsid w:val="06E12844"/>
    <w:rsid w:val="06E7FD4E"/>
    <w:rsid w:val="06F3B433"/>
    <w:rsid w:val="070EABEF"/>
    <w:rsid w:val="07435B0B"/>
    <w:rsid w:val="074719B2"/>
    <w:rsid w:val="076783B2"/>
    <w:rsid w:val="07683FD8"/>
    <w:rsid w:val="076D2181"/>
    <w:rsid w:val="07A7431E"/>
    <w:rsid w:val="07C0FA44"/>
    <w:rsid w:val="07D25E38"/>
    <w:rsid w:val="07D47D83"/>
    <w:rsid w:val="07FF11D4"/>
    <w:rsid w:val="0802E283"/>
    <w:rsid w:val="08300897"/>
    <w:rsid w:val="0839C429"/>
    <w:rsid w:val="084BAF88"/>
    <w:rsid w:val="084F5CCF"/>
    <w:rsid w:val="086E4912"/>
    <w:rsid w:val="08759F46"/>
    <w:rsid w:val="0888DAF9"/>
    <w:rsid w:val="08B92BCA"/>
    <w:rsid w:val="0900DF0B"/>
    <w:rsid w:val="09078AA3"/>
    <w:rsid w:val="091470FE"/>
    <w:rsid w:val="091655B4"/>
    <w:rsid w:val="09287CEE"/>
    <w:rsid w:val="092F8C67"/>
    <w:rsid w:val="0931DA08"/>
    <w:rsid w:val="094825C1"/>
    <w:rsid w:val="096B3F5F"/>
    <w:rsid w:val="09876DA2"/>
    <w:rsid w:val="098AC3C5"/>
    <w:rsid w:val="0993DC95"/>
    <w:rsid w:val="09A839D2"/>
    <w:rsid w:val="09A90BAE"/>
    <w:rsid w:val="09BDAF9B"/>
    <w:rsid w:val="09BE9390"/>
    <w:rsid w:val="09BEFC73"/>
    <w:rsid w:val="09D803D0"/>
    <w:rsid w:val="09F04E83"/>
    <w:rsid w:val="0A09C422"/>
    <w:rsid w:val="0A18461A"/>
    <w:rsid w:val="0A2BF925"/>
    <w:rsid w:val="0A2F1E75"/>
    <w:rsid w:val="0A3EB13E"/>
    <w:rsid w:val="0A563729"/>
    <w:rsid w:val="0A876BEB"/>
    <w:rsid w:val="0A95885F"/>
    <w:rsid w:val="0AA38E5E"/>
    <w:rsid w:val="0AA64973"/>
    <w:rsid w:val="0ADBD086"/>
    <w:rsid w:val="0AF6DEA3"/>
    <w:rsid w:val="0B054559"/>
    <w:rsid w:val="0B10D752"/>
    <w:rsid w:val="0B16099A"/>
    <w:rsid w:val="0B28BF2B"/>
    <w:rsid w:val="0B347A32"/>
    <w:rsid w:val="0B3DEDF2"/>
    <w:rsid w:val="0B40F91A"/>
    <w:rsid w:val="0B48BBC1"/>
    <w:rsid w:val="0B54EBB2"/>
    <w:rsid w:val="0B5AD61F"/>
    <w:rsid w:val="0B9D0D2F"/>
    <w:rsid w:val="0BAC1781"/>
    <w:rsid w:val="0BCD2635"/>
    <w:rsid w:val="0BD32E0E"/>
    <w:rsid w:val="0C061527"/>
    <w:rsid w:val="0C3CF92E"/>
    <w:rsid w:val="0C4068BE"/>
    <w:rsid w:val="0C4F1B3C"/>
    <w:rsid w:val="0C520F1D"/>
    <w:rsid w:val="0C5FF900"/>
    <w:rsid w:val="0C62B4FA"/>
    <w:rsid w:val="0C6DC50B"/>
    <w:rsid w:val="0C798B36"/>
    <w:rsid w:val="0C82393E"/>
    <w:rsid w:val="0C82B3B5"/>
    <w:rsid w:val="0C985B20"/>
    <w:rsid w:val="0C9F7510"/>
    <w:rsid w:val="0CBBD413"/>
    <w:rsid w:val="0CC8A133"/>
    <w:rsid w:val="0CCF192B"/>
    <w:rsid w:val="0CD9793A"/>
    <w:rsid w:val="0CD98449"/>
    <w:rsid w:val="0CE34A06"/>
    <w:rsid w:val="0CEB012A"/>
    <w:rsid w:val="0CF6CF48"/>
    <w:rsid w:val="0D110614"/>
    <w:rsid w:val="0D244543"/>
    <w:rsid w:val="0D2A2DE3"/>
    <w:rsid w:val="0D3FDE12"/>
    <w:rsid w:val="0D584D35"/>
    <w:rsid w:val="0D6F52DD"/>
    <w:rsid w:val="0DA193D2"/>
    <w:rsid w:val="0DB13A0A"/>
    <w:rsid w:val="0E08986C"/>
    <w:rsid w:val="0E101F76"/>
    <w:rsid w:val="0E237723"/>
    <w:rsid w:val="0E26043F"/>
    <w:rsid w:val="0E345867"/>
    <w:rsid w:val="0E3C0D7D"/>
    <w:rsid w:val="0E4384FA"/>
    <w:rsid w:val="0E4D0CC6"/>
    <w:rsid w:val="0E59C0FD"/>
    <w:rsid w:val="0E5E895B"/>
    <w:rsid w:val="0E71592F"/>
    <w:rsid w:val="0E7DCFDF"/>
    <w:rsid w:val="0E8CD914"/>
    <w:rsid w:val="0E9D05BD"/>
    <w:rsid w:val="0EA1DE2C"/>
    <w:rsid w:val="0EA2C9DC"/>
    <w:rsid w:val="0EC186CA"/>
    <w:rsid w:val="0EC1BEB9"/>
    <w:rsid w:val="0EC4C9EB"/>
    <w:rsid w:val="0ECCDEB3"/>
    <w:rsid w:val="0EF972A9"/>
    <w:rsid w:val="0F039DB7"/>
    <w:rsid w:val="0F09A14C"/>
    <w:rsid w:val="0F429A7F"/>
    <w:rsid w:val="0F4C72CD"/>
    <w:rsid w:val="0F553B3E"/>
    <w:rsid w:val="0F5F72D4"/>
    <w:rsid w:val="0F83A1D9"/>
    <w:rsid w:val="0F86DEB6"/>
    <w:rsid w:val="0F931BC6"/>
    <w:rsid w:val="0FC5B012"/>
    <w:rsid w:val="0FC8023C"/>
    <w:rsid w:val="0FCFF982"/>
    <w:rsid w:val="0FD1A067"/>
    <w:rsid w:val="0FD7F8F5"/>
    <w:rsid w:val="0FEB48F2"/>
    <w:rsid w:val="1009EC94"/>
    <w:rsid w:val="1010A669"/>
    <w:rsid w:val="102048EE"/>
    <w:rsid w:val="1047D92E"/>
    <w:rsid w:val="108CD2C1"/>
    <w:rsid w:val="10AC22B2"/>
    <w:rsid w:val="10BDCB08"/>
    <w:rsid w:val="10DB1A5E"/>
    <w:rsid w:val="10F273D9"/>
    <w:rsid w:val="10F35F68"/>
    <w:rsid w:val="1118EE84"/>
    <w:rsid w:val="1127D018"/>
    <w:rsid w:val="113AF9E3"/>
    <w:rsid w:val="11408F2B"/>
    <w:rsid w:val="11532A35"/>
    <w:rsid w:val="11615B15"/>
    <w:rsid w:val="116B4F6E"/>
    <w:rsid w:val="11825F2A"/>
    <w:rsid w:val="11968EA6"/>
    <w:rsid w:val="11A88AD5"/>
    <w:rsid w:val="11CF9A65"/>
    <w:rsid w:val="11EDE173"/>
    <w:rsid w:val="11F50998"/>
    <w:rsid w:val="11F537E7"/>
    <w:rsid w:val="1211489F"/>
    <w:rsid w:val="125F7117"/>
    <w:rsid w:val="1270604C"/>
    <w:rsid w:val="12774A0F"/>
    <w:rsid w:val="12959AAC"/>
    <w:rsid w:val="12A2D3FA"/>
    <w:rsid w:val="12C223A5"/>
    <w:rsid w:val="12FF686E"/>
    <w:rsid w:val="130460F2"/>
    <w:rsid w:val="1317F16C"/>
    <w:rsid w:val="1318E132"/>
    <w:rsid w:val="131C0C35"/>
    <w:rsid w:val="134EC686"/>
    <w:rsid w:val="135B03E8"/>
    <w:rsid w:val="13658358"/>
    <w:rsid w:val="1373B5DE"/>
    <w:rsid w:val="13A69CC8"/>
    <w:rsid w:val="13A73F4E"/>
    <w:rsid w:val="13B090FB"/>
    <w:rsid w:val="13BBF965"/>
    <w:rsid w:val="13C87B4B"/>
    <w:rsid w:val="13D93E7A"/>
    <w:rsid w:val="13DDC853"/>
    <w:rsid w:val="13F4CEAA"/>
    <w:rsid w:val="141C5C62"/>
    <w:rsid w:val="1421C6B8"/>
    <w:rsid w:val="142AD3EF"/>
    <w:rsid w:val="1448F135"/>
    <w:rsid w:val="1451295F"/>
    <w:rsid w:val="14615145"/>
    <w:rsid w:val="148407F4"/>
    <w:rsid w:val="1491DA7A"/>
    <w:rsid w:val="14A0D760"/>
    <w:rsid w:val="14B86DD6"/>
    <w:rsid w:val="14C70B8A"/>
    <w:rsid w:val="14CC5688"/>
    <w:rsid w:val="14D4A7DB"/>
    <w:rsid w:val="14FABCA0"/>
    <w:rsid w:val="151AEF07"/>
    <w:rsid w:val="1538BB26"/>
    <w:rsid w:val="1556BDA3"/>
    <w:rsid w:val="157776CF"/>
    <w:rsid w:val="158FA7EB"/>
    <w:rsid w:val="15A3060F"/>
    <w:rsid w:val="15B75467"/>
    <w:rsid w:val="15B93F24"/>
    <w:rsid w:val="15DDAB1E"/>
    <w:rsid w:val="15F29D48"/>
    <w:rsid w:val="16099674"/>
    <w:rsid w:val="16131222"/>
    <w:rsid w:val="16185E70"/>
    <w:rsid w:val="161F19BB"/>
    <w:rsid w:val="16219CEE"/>
    <w:rsid w:val="16233FF0"/>
    <w:rsid w:val="162D8A37"/>
    <w:rsid w:val="163905E9"/>
    <w:rsid w:val="16540DF3"/>
    <w:rsid w:val="16585D1C"/>
    <w:rsid w:val="16602D4F"/>
    <w:rsid w:val="1668B30E"/>
    <w:rsid w:val="1668BF77"/>
    <w:rsid w:val="166F0105"/>
    <w:rsid w:val="16A603E4"/>
    <w:rsid w:val="16B8088F"/>
    <w:rsid w:val="16B92839"/>
    <w:rsid w:val="16BAF563"/>
    <w:rsid w:val="16BD1007"/>
    <w:rsid w:val="16C8C512"/>
    <w:rsid w:val="16CC0ADA"/>
    <w:rsid w:val="16CFF884"/>
    <w:rsid w:val="170F9035"/>
    <w:rsid w:val="1744695E"/>
    <w:rsid w:val="174C3AD5"/>
    <w:rsid w:val="175BC738"/>
    <w:rsid w:val="1761B54D"/>
    <w:rsid w:val="179198B9"/>
    <w:rsid w:val="17959785"/>
    <w:rsid w:val="17964EA3"/>
    <w:rsid w:val="179CCC1A"/>
    <w:rsid w:val="17A1CC3A"/>
    <w:rsid w:val="17C07BE3"/>
    <w:rsid w:val="17C1BB00"/>
    <w:rsid w:val="17D411B4"/>
    <w:rsid w:val="17D6642C"/>
    <w:rsid w:val="17FC0803"/>
    <w:rsid w:val="17FE3FB3"/>
    <w:rsid w:val="180FD2F4"/>
    <w:rsid w:val="1866832A"/>
    <w:rsid w:val="18756E59"/>
    <w:rsid w:val="18850B5E"/>
    <w:rsid w:val="188FD30B"/>
    <w:rsid w:val="18B36982"/>
    <w:rsid w:val="18F1BBE8"/>
    <w:rsid w:val="193C9EA7"/>
    <w:rsid w:val="193DCEE6"/>
    <w:rsid w:val="1944DD98"/>
    <w:rsid w:val="194ACA84"/>
    <w:rsid w:val="1970946D"/>
    <w:rsid w:val="1978DD58"/>
    <w:rsid w:val="198D6A5F"/>
    <w:rsid w:val="1991E6A8"/>
    <w:rsid w:val="199DF1FC"/>
    <w:rsid w:val="19A452AD"/>
    <w:rsid w:val="19E9BF3C"/>
    <w:rsid w:val="19EDFC7E"/>
    <w:rsid w:val="19F0AE4E"/>
    <w:rsid w:val="1A03C3BB"/>
    <w:rsid w:val="1A103CF7"/>
    <w:rsid w:val="1A2F5551"/>
    <w:rsid w:val="1A31A2F5"/>
    <w:rsid w:val="1A35A0CE"/>
    <w:rsid w:val="1A3769AE"/>
    <w:rsid w:val="1A3BD322"/>
    <w:rsid w:val="1A553E4B"/>
    <w:rsid w:val="1A61B51E"/>
    <w:rsid w:val="1A98250E"/>
    <w:rsid w:val="1ACF71C2"/>
    <w:rsid w:val="1AD01AA1"/>
    <w:rsid w:val="1AD52C47"/>
    <w:rsid w:val="1ADDF02D"/>
    <w:rsid w:val="1B2139AF"/>
    <w:rsid w:val="1B41AFD0"/>
    <w:rsid w:val="1B47806B"/>
    <w:rsid w:val="1B4A04F9"/>
    <w:rsid w:val="1B53DC71"/>
    <w:rsid w:val="1B541690"/>
    <w:rsid w:val="1B62C98A"/>
    <w:rsid w:val="1B6B1AD2"/>
    <w:rsid w:val="1B828EBE"/>
    <w:rsid w:val="1BCCCD3E"/>
    <w:rsid w:val="1BCCEFBC"/>
    <w:rsid w:val="1BD7D569"/>
    <w:rsid w:val="1C0770AE"/>
    <w:rsid w:val="1C3D389B"/>
    <w:rsid w:val="1C466023"/>
    <w:rsid w:val="1C482BD6"/>
    <w:rsid w:val="1C4907DA"/>
    <w:rsid w:val="1C569845"/>
    <w:rsid w:val="1C56FA97"/>
    <w:rsid w:val="1C6C746C"/>
    <w:rsid w:val="1C7976A1"/>
    <w:rsid w:val="1C94F124"/>
    <w:rsid w:val="1CB2BA4B"/>
    <w:rsid w:val="1CCEE76D"/>
    <w:rsid w:val="1CE06DEC"/>
    <w:rsid w:val="1CF5AD88"/>
    <w:rsid w:val="1D319E09"/>
    <w:rsid w:val="1D345331"/>
    <w:rsid w:val="1D5DDCC4"/>
    <w:rsid w:val="1D612FC8"/>
    <w:rsid w:val="1D613CF2"/>
    <w:rsid w:val="1D6DDC04"/>
    <w:rsid w:val="1D7CD422"/>
    <w:rsid w:val="1D9A71DA"/>
    <w:rsid w:val="1D9B99BE"/>
    <w:rsid w:val="1DA2C115"/>
    <w:rsid w:val="1DB068E8"/>
    <w:rsid w:val="1DB29BB0"/>
    <w:rsid w:val="1DC91E8D"/>
    <w:rsid w:val="1DEC7A05"/>
    <w:rsid w:val="1E226A83"/>
    <w:rsid w:val="1E30CA07"/>
    <w:rsid w:val="1E31AC45"/>
    <w:rsid w:val="1E33F093"/>
    <w:rsid w:val="1E369407"/>
    <w:rsid w:val="1E7A86C4"/>
    <w:rsid w:val="1E8ED066"/>
    <w:rsid w:val="1EADD9C7"/>
    <w:rsid w:val="1EBE5FEA"/>
    <w:rsid w:val="1EDE2221"/>
    <w:rsid w:val="1EE7D2D3"/>
    <w:rsid w:val="1EFE358C"/>
    <w:rsid w:val="1F0DFE3D"/>
    <w:rsid w:val="1F31F5E9"/>
    <w:rsid w:val="1F34AE63"/>
    <w:rsid w:val="1F4C44F7"/>
    <w:rsid w:val="1F5B3F42"/>
    <w:rsid w:val="1F715E0F"/>
    <w:rsid w:val="1F85EE8D"/>
    <w:rsid w:val="1F88E359"/>
    <w:rsid w:val="1F8DA419"/>
    <w:rsid w:val="1FD60165"/>
    <w:rsid w:val="1FE37141"/>
    <w:rsid w:val="1FEFA5E9"/>
    <w:rsid w:val="200B46DA"/>
    <w:rsid w:val="200BD8DB"/>
    <w:rsid w:val="20142698"/>
    <w:rsid w:val="201FCE8D"/>
    <w:rsid w:val="20235A5F"/>
    <w:rsid w:val="202839C4"/>
    <w:rsid w:val="202F0F46"/>
    <w:rsid w:val="2044FBB1"/>
    <w:rsid w:val="20608AE7"/>
    <w:rsid w:val="206138EB"/>
    <w:rsid w:val="2069BDCB"/>
    <w:rsid w:val="208588CD"/>
    <w:rsid w:val="208E0227"/>
    <w:rsid w:val="20A44134"/>
    <w:rsid w:val="20C564D0"/>
    <w:rsid w:val="20CBA9A8"/>
    <w:rsid w:val="20CEAFDE"/>
    <w:rsid w:val="20DA54FB"/>
    <w:rsid w:val="20E7AAF6"/>
    <w:rsid w:val="210C54C7"/>
    <w:rsid w:val="2110F6C0"/>
    <w:rsid w:val="2112669A"/>
    <w:rsid w:val="21132075"/>
    <w:rsid w:val="21173996"/>
    <w:rsid w:val="2123EFFA"/>
    <w:rsid w:val="21359056"/>
    <w:rsid w:val="214D5313"/>
    <w:rsid w:val="214FDA61"/>
    <w:rsid w:val="21514DBF"/>
    <w:rsid w:val="216D4A27"/>
    <w:rsid w:val="216FC793"/>
    <w:rsid w:val="2174B578"/>
    <w:rsid w:val="217D8EC7"/>
    <w:rsid w:val="21AECC3B"/>
    <w:rsid w:val="21B05718"/>
    <w:rsid w:val="21B9F484"/>
    <w:rsid w:val="21CF54D5"/>
    <w:rsid w:val="21D31667"/>
    <w:rsid w:val="21D98C82"/>
    <w:rsid w:val="21F204AF"/>
    <w:rsid w:val="21F306EF"/>
    <w:rsid w:val="21F62993"/>
    <w:rsid w:val="22029EC8"/>
    <w:rsid w:val="22081C77"/>
    <w:rsid w:val="22092BFF"/>
    <w:rsid w:val="220B30D3"/>
    <w:rsid w:val="223C3A71"/>
    <w:rsid w:val="22498E42"/>
    <w:rsid w:val="2252ACEC"/>
    <w:rsid w:val="22559379"/>
    <w:rsid w:val="225855BF"/>
    <w:rsid w:val="225EB625"/>
    <w:rsid w:val="2265360F"/>
    <w:rsid w:val="22757F65"/>
    <w:rsid w:val="228A0473"/>
    <w:rsid w:val="22AFAE32"/>
    <w:rsid w:val="22B42E03"/>
    <w:rsid w:val="22BE2B80"/>
    <w:rsid w:val="22C093BA"/>
    <w:rsid w:val="22CBB666"/>
    <w:rsid w:val="22D0CFA9"/>
    <w:rsid w:val="22EB78D7"/>
    <w:rsid w:val="22FA31F9"/>
    <w:rsid w:val="23453CBD"/>
    <w:rsid w:val="2354595E"/>
    <w:rsid w:val="2357A002"/>
    <w:rsid w:val="235E3DD8"/>
    <w:rsid w:val="2361EF45"/>
    <w:rsid w:val="236A8AAA"/>
    <w:rsid w:val="23A20C0A"/>
    <w:rsid w:val="23A82E74"/>
    <w:rsid w:val="23C051BE"/>
    <w:rsid w:val="23C0758A"/>
    <w:rsid w:val="23CA6595"/>
    <w:rsid w:val="23D5C46D"/>
    <w:rsid w:val="23DBB6A7"/>
    <w:rsid w:val="23F479C7"/>
    <w:rsid w:val="2412001E"/>
    <w:rsid w:val="241A1B24"/>
    <w:rsid w:val="243DDD32"/>
    <w:rsid w:val="243F7544"/>
    <w:rsid w:val="244DC367"/>
    <w:rsid w:val="246170B3"/>
    <w:rsid w:val="2475EBDD"/>
    <w:rsid w:val="2493A0BC"/>
    <w:rsid w:val="24A5F1A1"/>
    <w:rsid w:val="24BE1648"/>
    <w:rsid w:val="24C2D0CD"/>
    <w:rsid w:val="24D17FA0"/>
    <w:rsid w:val="24E5B683"/>
    <w:rsid w:val="250A0C23"/>
    <w:rsid w:val="250EFBEE"/>
    <w:rsid w:val="254889E2"/>
    <w:rsid w:val="25491668"/>
    <w:rsid w:val="2552E706"/>
    <w:rsid w:val="25533D20"/>
    <w:rsid w:val="2559D1AF"/>
    <w:rsid w:val="255B17AF"/>
    <w:rsid w:val="2563D64E"/>
    <w:rsid w:val="257D538D"/>
    <w:rsid w:val="257D6998"/>
    <w:rsid w:val="2590B282"/>
    <w:rsid w:val="25A56195"/>
    <w:rsid w:val="25D32ED5"/>
    <w:rsid w:val="25DBEBCB"/>
    <w:rsid w:val="2636FA41"/>
    <w:rsid w:val="26625297"/>
    <w:rsid w:val="266426C5"/>
    <w:rsid w:val="26701F51"/>
    <w:rsid w:val="26706EA3"/>
    <w:rsid w:val="267A18F0"/>
    <w:rsid w:val="26ADFE67"/>
    <w:rsid w:val="26BB4EED"/>
    <w:rsid w:val="26D6E1F0"/>
    <w:rsid w:val="26D8FCD3"/>
    <w:rsid w:val="27036293"/>
    <w:rsid w:val="270C60B1"/>
    <w:rsid w:val="272D60E9"/>
    <w:rsid w:val="27449E4B"/>
    <w:rsid w:val="27494DAD"/>
    <w:rsid w:val="27860CAD"/>
    <w:rsid w:val="27862377"/>
    <w:rsid w:val="2790DA14"/>
    <w:rsid w:val="2793EFE4"/>
    <w:rsid w:val="27A7BCED"/>
    <w:rsid w:val="27B5121B"/>
    <w:rsid w:val="27B68C02"/>
    <w:rsid w:val="27E28A86"/>
    <w:rsid w:val="28005C2E"/>
    <w:rsid w:val="28122CD1"/>
    <w:rsid w:val="2826C2BC"/>
    <w:rsid w:val="2857C175"/>
    <w:rsid w:val="2894AAA5"/>
    <w:rsid w:val="28AA993F"/>
    <w:rsid w:val="28ACD57E"/>
    <w:rsid w:val="28B60517"/>
    <w:rsid w:val="28C8D122"/>
    <w:rsid w:val="28E62252"/>
    <w:rsid w:val="28EA021E"/>
    <w:rsid w:val="2903D6C9"/>
    <w:rsid w:val="29433C8A"/>
    <w:rsid w:val="295EAE6A"/>
    <w:rsid w:val="2978C195"/>
    <w:rsid w:val="29964701"/>
    <w:rsid w:val="29AE5285"/>
    <w:rsid w:val="29D897B4"/>
    <w:rsid w:val="29DD83F7"/>
    <w:rsid w:val="29E922D5"/>
    <w:rsid w:val="29FC143A"/>
    <w:rsid w:val="2A16CB60"/>
    <w:rsid w:val="2A185EB4"/>
    <w:rsid w:val="2A28D60E"/>
    <w:rsid w:val="2A2B1695"/>
    <w:rsid w:val="2A347D5B"/>
    <w:rsid w:val="2A384EBF"/>
    <w:rsid w:val="2A3AA9DF"/>
    <w:rsid w:val="2A4B97DD"/>
    <w:rsid w:val="2A7D91C8"/>
    <w:rsid w:val="2AB37DFE"/>
    <w:rsid w:val="2B02BB0F"/>
    <w:rsid w:val="2B0B0B72"/>
    <w:rsid w:val="2B0C1C59"/>
    <w:rsid w:val="2B22EDFE"/>
    <w:rsid w:val="2B31CEE8"/>
    <w:rsid w:val="2B3D54B3"/>
    <w:rsid w:val="2B43543B"/>
    <w:rsid w:val="2B4581BF"/>
    <w:rsid w:val="2B467228"/>
    <w:rsid w:val="2B48CF0D"/>
    <w:rsid w:val="2B4BD038"/>
    <w:rsid w:val="2B5067D4"/>
    <w:rsid w:val="2B556A11"/>
    <w:rsid w:val="2B5B4AB0"/>
    <w:rsid w:val="2B78F878"/>
    <w:rsid w:val="2B7C88EA"/>
    <w:rsid w:val="2B8F0E79"/>
    <w:rsid w:val="2BA046E1"/>
    <w:rsid w:val="2BC6FC14"/>
    <w:rsid w:val="2BDF6B39"/>
    <w:rsid w:val="2BE0BC9A"/>
    <w:rsid w:val="2BE0E9F9"/>
    <w:rsid w:val="2BF41440"/>
    <w:rsid w:val="2C0B9889"/>
    <w:rsid w:val="2C1B140C"/>
    <w:rsid w:val="2C4644FB"/>
    <w:rsid w:val="2C78EF29"/>
    <w:rsid w:val="2C7D5391"/>
    <w:rsid w:val="2C8B4950"/>
    <w:rsid w:val="2C8D8320"/>
    <w:rsid w:val="2CA35B3B"/>
    <w:rsid w:val="2CA54A94"/>
    <w:rsid w:val="2CFB1971"/>
    <w:rsid w:val="2CFC5B1B"/>
    <w:rsid w:val="2D2C69F6"/>
    <w:rsid w:val="2D3BA0AE"/>
    <w:rsid w:val="2D42102C"/>
    <w:rsid w:val="2D422BCB"/>
    <w:rsid w:val="2D6A5022"/>
    <w:rsid w:val="2D83F5D3"/>
    <w:rsid w:val="2D840BC4"/>
    <w:rsid w:val="2DA60420"/>
    <w:rsid w:val="2DDDB169"/>
    <w:rsid w:val="2DE58C2B"/>
    <w:rsid w:val="2E0DA789"/>
    <w:rsid w:val="2E3511CD"/>
    <w:rsid w:val="2E5BC05A"/>
    <w:rsid w:val="2E68E8D0"/>
    <w:rsid w:val="2E71C8AD"/>
    <w:rsid w:val="2E76BB3D"/>
    <w:rsid w:val="2E86DC1D"/>
    <w:rsid w:val="2E871492"/>
    <w:rsid w:val="2EBD1F83"/>
    <w:rsid w:val="2EBECAA6"/>
    <w:rsid w:val="2EDA8064"/>
    <w:rsid w:val="2EE12CC7"/>
    <w:rsid w:val="2EE4E742"/>
    <w:rsid w:val="2EE6EFE6"/>
    <w:rsid w:val="2F043907"/>
    <w:rsid w:val="2F091103"/>
    <w:rsid w:val="2F1ED823"/>
    <w:rsid w:val="2F229044"/>
    <w:rsid w:val="2F4AEE2D"/>
    <w:rsid w:val="2F5054AB"/>
    <w:rsid w:val="2F9A8495"/>
    <w:rsid w:val="2F9B704C"/>
    <w:rsid w:val="2FD8EAAB"/>
    <w:rsid w:val="2FE299D1"/>
    <w:rsid w:val="2FE96E82"/>
    <w:rsid w:val="2FF4B592"/>
    <w:rsid w:val="30058558"/>
    <w:rsid w:val="300BF0A2"/>
    <w:rsid w:val="30118095"/>
    <w:rsid w:val="30276699"/>
    <w:rsid w:val="3038D83D"/>
    <w:rsid w:val="303E3B0E"/>
    <w:rsid w:val="30617B93"/>
    <w:rsid w:val="3074B221"/>
    <w:rsid w:val="308655E0"/>
    <w:rsid w:val="3087DA27"/>
    <w:rsid w:val="308B6361"/>
    <w:rsid w:val="3093B16A"/>
    <w:rsid w:val="309F7F37"/>
    <w:rsid w:val="30A19D0E"/>
    <w:rsid w:val="30AF64EF"/>
    <w:rsid w:val="30B42EFA"/>
    <w:rsid w:val="30B93896"/>
    <w:rsid w:val="30C1D2EB"/>
    <w:rsid w:val="30C51D58"/>
    <w:rsid w:val="30CD377C"/>
    <w:rsid w:val="30D51FCD"/>
    <w:rsid w:val="30DAA690"/>
    <w:rsid w:val="30E6CF6D"/>
    <w:rsid w:val="30FC680B"/>
    <w:rsid w:val="310A211B"/>
    <w:rsid w:val="31524BF3"/>
    <w:rsid w:val="316E3E7F"/>
    <w:rsid w:val="317A2721"/>
    <w:rsid w:val="318D2272"/>
    <w:rsid w:val="3195B835"/>
    <w:rsid w:val="319E9CAD"/>
    <w:rsid w:val="31A1836F"/>
    <w:rsid w:val="31A39BB4"/>
    <w:rsid w:val="31A51F31"/>
    <w:rsid w:val="31E067B9"/>
    <w:rsid w:val="31E6EE40"/>
    <w:rsid w:val="31E7C78F"/>
    <w:rsid w:val="31E9254E"/>
    <w:rsid w:val="321A0DA8"/>
    <w:rsid w:val="322C21C7"/>
    <w:rsid w:val="3231B89E"/>
    <w:rsid w:val="32592AE9"/>
    <w:rsid w:val="327A9869"/>
    <w:rsid w:val="32A4EBCF"/>
    <w:rsid w:val="32AA5C4C"/>
    <w:rsid w:val="32AEA31E"/>
    <w:rsid w:val="32B54F03"/>
    <w:rsid w:val="32B567A6"/>
    <w:rsid w:val="32C0FA89"/>
    <w:rsid w:val="32C44CCD"/>
    <w:rsid w:val="32EA2AF7"/>
    <w:rsid w:val="32ECC855"/>
    <w:rsid w:val="33042992"/>
    <w:rsid w:val="330E51B4"/>
    <w:rsid w:val="3327AE17"/>
    <w:rsid w:val="334930F3"/>
    <w:rsid w:val="3388EAAF"/>
    <w:rsid w:val="3390FFA8"/>
    <w:rsid w:val="33A51F10"/>
    <w:rsid w:val="33AEA396"/>
    <w:rsid w:val="33E84003"/>
    <w:rsid w:val="33FC4964"/>
    <w:rsid w:val="3447600C"/>
    <w:rsid w:val="344F2D9A"/>
    <w:rsid w:val="3464F202"/>
    <w:rsid w:val="34863100"/>
    <w:rsid w:val="348AA4A1"/>
    <w:rsid w:val="34A13A75"/>
    <w:rsid w:val="34A85BBB"/>
    <w:rsid w:val="34B288BC"/>
    <w:rsid w:val="34C60D33"/>
    <w:rsid w:val="34CD642B"/>
    <w:rsid w:val="34DF0079"/>
    <w:rsid w:val="34E518CF"/>
    <w:rsid w:val="34E5300B"/>
    <w:rsid w:val="34EC6786"/>
    <w:rsid w:val="34F004D2"/>
    <w:rsid w:val="34F736D4"/>
    <w:rsid w:val="35044E9C"/>
    <w:rsid w:val="352DC615"/>
    <w:rsid w:val="3554AA8B"/>
    <w:rsid w:val="3554BE1D"/>
    <w:rsid w:val="356A3C41"/>
    <w:rsid w:val="3582B532"/>
    <w:rsid w:val="358E57EE"/>
    <w:rsid w:val="35A8277A"/>
    <w:rsid w:val="35C3B6E9"/>
    <w:rsid w:val="35D7BF40"/>
    <w:rsid w:val="35E5D5FD"/>
    <w:rsid w:val="35FD9B2F"/>
    <w:rsid w:val="361DE70F"/>
    <w:rsid w:val="361F35D1"/>
    <w:rsid w:val="36278266"/>
    <w:rsid w:val="36286305"/>
    <w:rsid w:val="363D5E62"/>
    <w:rsid w:val="365E0267"/>
    <w:rsid w:val="366DA642"/>
    <w:rsid w:val="36825685"/>
    <w:rsid w:val="36904E67"/>
    <w:rsid w:val="3691D589"/>
    <w:rsid w:val="3698B7FD"/>
    <w:rsid w:val="369E7C93"/>
    <w:rsid w:val="36A19C73"/>
    <w:rsid w:val="36A21C51"/>
    <w:rsid w:val="36B21C35"/>
    <w:rsid w:val="36B55626"/>
    <w:rsid w:val="36B71DC3"/>
    <w:rsid w:val="36C0B8FF"/>
    <w:rsid w:val="36C0CABD"/>
    <w:rsid w:val="36C2528D"/>
    <w:rsid w:val="36C46134"/>
    <w:rsid w:val="36D74FF9"/>
    <w:rsid w:val="36E2863A"/>
    <w:rsid w:val="36E88D33"/>
    <w:rsid w:val="36EB73B6"/>
    <w:rsid w:val="36F3ADDB"/>
    <w:rsid w:val="371399F4"/>
    <w:rsid w:val="374FBBD0"/>
    <w:rsid w:val="3756FC7E"/>
    <w:rsid w:val="377EB5A2"/>
    <w:rsid w:val="3782C5D4"/>
    <w:rsid w:val="37893785"/>
    <w:rsid w:val="37A25D5E"/>
    <w:rsid w:val="37A9F1E1"/>
    <w:rsid w:val="37ABF32C"/>
    <w:rsid w:val="37AC5959"/>
    <w:rsid w:val="37C55EA4"/>
    <w:rsid w:val="37C6B590"/>
    <w:rsid w:val="37E2168E"/>
    <w:rsid w:val="37EFA282"/>
    <w:rsid w:val="384F3CC6"/>
    <w:rsid w:val="385643EB"/>
    <w:rsid w:val="385BAB9C"/>
    <w:rsid w:val="38649AD0"/>
    <w:rsid w:val="387AE2FB"/>
    <w:rsid w:val="38D2ACC7"/>
    <w:rsid w:val="38ECDE25"/>
    <w:rsid w:val="38F2C876"/>
    <w:rsid w:val="38F96D98"/>
    <w:rsid w:val="39122980"/>
    <w:rsid w:val="395132C0"/>
    <w:rsid w:val="395294ED"/>
    <w:rsid w:val="396F430E"/>
    <w:rsid w:val="398AB89C"/>
    <w:rsid w:val="39A70696"/>
    <w:rsid w:val="39C46467"/>
    <w:rsid w:val="39C89EFE"/>
    <w:rsid w:val="39C92B4D"/>
    <w:rsid w:val="39CF772A"/>
    <w:rsid w:val="39D1B514"/>
    <w:rsid w:val="39E2B091"/>
    <w:rsid w:val="39E7E879"/>
    <w:rsid w:val="3A21AC26"/>
    <w:rsid w:val="3A31BFCB"/>
    <w:rsid w:val="3A49AB70"/>
    <w:rsid w:val="3A79461A"/>
    <w:rsid w:val="3A813DD8"/>
    <w:rsid w:val="3AA74454"/>
    <w:rsid w:val="3AB3B052"/>
    <w:rsid w:val="3AC91EC1"/>
    <w:rsid w:val="3ACDDDA3"/>
    <w:rsid w:val="3AD90649"/>
    <w:rsid w:val="3AEF6444"/>
    <w:rsid w:val="3AFF9812"/>
    <w:rsid w:val="3B0176AE"/>
    <w:rsid w:val="3B2A1F15"/>
    <w:rsid w:val="3B3F05A9"/>
    <w:rsid w:val="3B47A294"/>
    <w:rsid w:val="3B4E02BE"/>
    <w:rsid w:val="3B68170F"/>
    <w:rsid w:val="3B799A0F"/>
    <w:rsid w:val="3B8561D0"/>
    <w:rsid w:val="3B940D8D"/>
    <w:rsid w:val="3BB90344"/>
    <w:rsid w:val="3BC4EDD4"/>
    <w:rsid w:val="3BCBABF4"/>
    <w:rsid w:val="3BD9632D"/>
    <w:rsid w:val="3BE6F734"/>
    <w:rsid w:val="3BEA4298"/>
    <w:rsid w:val="3BEF4606"/>
    <w:rsid w:val="3C1CFBB9"/>
    <w:rsid w:val="3C299B37"/>
    <w:rsid w:val="3C32D80C"/>
    <w:rsid w:val="3C35C892"/>
    <w:rsid w:val="3C577724"/>
    <w:rsid w:val="3C59126C"/>
    <w:rsid w:val="3C5C533B"/>
    <w:rsid w:val="3C702D9A"/>
    <w:rsid w:val="3C74A242"/>
    <w:rsid w:val="3C9BE688"/>
    <w:rsid w:val="3C9FB6E8"/>
    <w:rsid w:val="3CA21D53"/>
    <w:rsid w:val="3CA535D2"/>
    <w:rsid w:val="3CA9E38B"/>
    <w:rsid w:val="3CD64BD0"/>
    <w:rsid w:val="3CD7175F"/>
    <w:rsid w:val="3CF94765"/>
    <w:rsid w:val="3D38AB78"/>
    <w:rsid w:val="3D48DBDD"/>
    <w:rsid w:val="3D70D327"/>
    <w:rsid w:val="3D8953D7"/>
    <w:rsid w:val="3D965850"/>
    <w:rsid w:val="3DB0CED5"/>
    <w:rsid w:val="3DE8E03F"/>
    <w:rsid w:val="3E0143BB"/>
    <w:rsid w:val="3E1154DD"/>
    <w:rsid w:val="3E433524"/>
    <w:rsid w:val="3E5293B4"/>
    <w:rsid w:val="3E5618D1"/>
    <w:rsid w:val="3E5B95E4"/>
    <w:rsid w:val="3E65968F"/>
    <w:rsid w:val="3E880CBB"/>
    <w:rsid w:val="3EA6BE11"/>
    <w:rsid w:val="3EB87605"/>
    <w:rsid w:val="3EC0CAFB"/>
    <w:rsid w:val="3ECE3C1C"/>
    <w:rsid w:val="3ED115CE"/>
    <w:rsid w:val="3EEC557E"/>
    <w:rsid w:val="3EEF39EC"/>
    <w:rsid w:val="3F0B3156"/>
    <w:rsid w:val="3F1A2F59"/>
    <w:rsid w:val="3F358976"/>
    <w:rsid w:val="3F446B90"/>
    <w:rsid w:val="3F5014BE"/>
    <w:rsid w:val="3F6A20D3"/>
    <w:rsid w:val="3F99B19B"/>
    <w:rsid w:val="3FADEA3A"/>
    <w:rsid w:val="3FB246D5"/>
    <w:rsid w:val="3FE1F278"/>
    <w:rsid w:val="3FFC89CF"/>
    <w:rsid w:val="400AE62B"/>
    <w:rsid w:val="401070C5"/>
    <w:rsid w:val="4016B9B5"/>
    <w:rsid w:val="4048ABA7"/>
    <w:rsid w:val="404BDA47"/>
    <w:rsid w:val="40699357"/>
    <w:rsid w:val="40835817"/>
    <w:rsid w:val="4099FEE7"/>
    <w:rsid w:val="40C360A6"/>
    <w:rsid w:val="40D5449E"/>
    <w:rsid w:val="40FF4634"/>
    <w:rsid w:val="41038273"/>
    <w:rsid w:val="4113D7A8"/>
    <w:rsid w:val="41275FEE"/>
    <w:rsid w:val="41287A74"/>
    <w:rsid w:val="412B4D39"/>
    <w:rsid w:val="41335FF2"/>
    <w:rsid w:val="4134814B"/>
    <w:rsid w:val="414CFFB6"/>
    <w:rsid w:val="4181E54B"/>
    <w:rsid w:val="4184C13D"/>
    <w:rsid w:val="419A8095"/>
    <w:rsid w:val="41A7D593"/>
    <w:rsid w:val="41BAE0BC"/>
    <w:rsid w:val="41BC2F58"/>
    <w:rsid w:val="41E18779"/>
    <w:rsid w:val="41E7ECFC"/>
    <w:rsid w:val="41EDCD02"/>
    <w:rsid w:val="41F3948F"/>
    <w:rsid w:val="4201E6AF"/>
    <w:rsid w:val="420718FD"/>
    <w:rsid w:val="4215D874"/>
    <w:rsid w:val="4216ADE3"/>
    <w:rsid w:val="422629F0"/>
    <w:rsid w:val="423DB246"/>
    <w:rsid w:val="42477E92"/>
    <w:rsid w:val="424CC82A"/>
    <w:rsid w:val="426C976E"/>
    <w:rsid w:val="4286C6E4"/>
    <w:rsid w:val="429B50E9"/>
    <w:rsid w:val="42E50A84"/>
    <w:rsid w:val="42F8EEE4"/>
    <w:rsid w:val="43061730"/>
    <w:rsid w:val="430FCCAF"/>
    <w:rsid w:val="43252291"/>
    <w:rsid w:val="433859D4"/>
    <w:rsid w:val="43466006"/>
    <w:rsid w:val="434EEBA1"/>
    <w:rsid w:val="4359EF54"/>
    <w:rsid w:val="436255EB"/>
    <w:rsid w:val="43ADC268"/>
    <w:rsid w:val="43AF53A7"/>
    <w:rsid w:val="43B3BAD2"/>
    <w:rsid w:val="43B83759"/>
    <w:rsid w:val="4410A631"/>
    <w:rsid w:val="44343227"/>
    <w:rsid w:val="4469B639"/>
    <w:rsid w:val="44721A97"/>
    <w:rsid w:val="4488648A"/>
    <w:rsid w:val="448BB557"/>
    <w:rsid w:val="4491888C"/>
    <w:rsid w:val="44A3F365"/>
    <w:rsid w:val="44ACEB34"/>
    <w:rsid w:val="44B0289C"/>
    <w:rsid w:val="44B194D7"/>
    <w:rsid w:val="44BDE364"/>
    <w:rsid w:val="44BE842F"/>
    <w:rsid w:val="44BF69C5"/>
    <w:rsid w:val="44C21CF3"/>
    <w:rsid w:val="44CDC5E3"/>
    <w:rsid w:val="44F232AB"/>
    <w:rsid w:val="44F2ADBF"/>
    <w:rsid w:val="45001793"/>
    <w:rsid w:val="450C598B"/>
    <w:rsid w:val="451393D1"/>
    <w:rsid w:val="4529F848"/>
    <w:rsid w:val="452C4893"/>
    <w:rsid w:val="453D0015"/>
    <w:rsid w:val="4543F946"/>
    <w:rsid w:val="45491C31"/>
    <w:rsid w:val="4559386E"/>
    <w:rsid w:val="4559E389"/>
    <w:rsid w:val="45692D10"/>
    <w:rsid w:val="45724A4E"/>
    <w:rsid w:val="45786214"/>
    <w:rsid w:val="4592E64E"/>
    <w:rsid w:val="45C4DA8A"/>
    <w:rsid w:val="45C5550D"/>
    <w:rsid w:val="45DA94F7"/>
    <w:rsid w:val="45FEFD56"/>
    <w:rsid w:val="45FF6584"/>
    <w:rsid w:val="462D77BD"/>
    <w:rsid w:val="466406F9"/>
    <w:rsid w:val="466AA9B2"/>
    <w:rsid w:val="469EB04C"/>
    <w:rsid w:val="46A374FC"/>
    <w:rsid w:val="46E46FDA"/>
    <w:rsid w:val="46FFA8B6"/>
    <w:rsid w:val="470D7755"/>
    <w:rsid w:val="4711DAE6"/>
    <w:rsid w:val="4715E918"/>
    <w:rsid w:val="471A9995"/>
    <w:rsid w:val="4736805B"/>
    <w:rsid w:val="474B1267"/>
    <w:rsid w:val="47502722"/>
    <w:rsid w:val="475F3F59"/>
    <w:rsid w:val="4778B681"/>
    <w:rsid w:val="478292F9"/>
    <w:rsid w:val="4788BFB9"/>
    <w:rsid w:val="479FC5EA"/>
    <w:rsid w:val="47B11711"/>
    <w:rsid w:val="47E4BEB0"/>
    <w:rsid w:val="47EC604A"/>
    <w:rsid w:val="4826ECEE"/>
    <w:rsid w:val="483A3B5D"/>
    <w:rsid w:val="4845D8D4"/>
    <w:rsid w:val="4851F58B"/>
    <w:rsid w:val="486D3637"/>
    <w:rsid w:val="4879ADD5"/>
    <w:rsid w:val="4882D174"/>
    <w:rsid w:val="48889A3C"/>
    <w:rsid w:val="48BF03E8"/>
    <w:rsid w:val="48C2F916"/>
    <w:rsid w:val="48CEDB66"/>
    <w:rsid w:val="48FF6A9F"/>
    <w:rsid w:val="48FF6E6D"/>
    <w:rsid w:val="490A73E8"/>
    <w:rsid w:val="490F0584"/>
    <w:rsid w:val="49149FD4"/>
    <w:rsid w:val="49180EA0"/>
    <w:rsid w:val="493BCF61"/>
    <w:rsid w:val="4948E5CA"/>
    <w:rsid w:val="494F8354"/>
    <w:rsid w:val="498E0900"/>
    <w:rsid w:val="49915217"/>
    <w:rsid w:val="49B55772"/>
    <w:rsid w:val="49BD6DF0"/>
    <w:rsid w:val="49BFD0F1"/>
    <w:rsid w:val="49C9B2B6"/>
    <w:rsid w:val="49F1DEB2"/>
    <w:rsid w:val="49F860C0"/>
    <w:rsid w:val="4A0B1C5B"/>
    <w:rsid w:val="4A1F7DA9"/>
    <w:rsid w:val="4A36C892"/>
    <w:rsid w:val="4A401016"/>
    <w:rsid w:val="4A44E930"/>
    <w:rsid w:val="4A4C4EA3"/>
    <w:rsid w:val="4A583000"/>
    <w:rsid w:val="4A7FADF6"/>
    <w:rsid w:val="4A8DDB1D"/>
    <w:rsid w:val="4AC392AC"/>
    <w:rsid w:val="4AE62977"/>
    <w:rsid w:val="4AECCB05"/>
    <w:rsid w:val="4AFC13C1"/>
    <w:rsid w:val="4B0146C4"/>
    <w:rsid w:val="4B03CDFB"/>
    <w:rsid w:val="4B198720"/>
    <w:rsid w:val="4B3A150C"/>
    <w:rsid w:val="4B4066F3"/>
    <w:rsid w:val="4B536D22"/>
    <w:rsid w:val="4B56B9D9"/>
    <w:rsid w:val="4B5AD14A"/>
    <w:rsid w:val="4B698046"/>
    <w:rsid w:val="4B84432A"/>
    <w:rsid w:val="4BA84FD3"/>
    <w:rsid w:val="4BB15201"/>
    <w:rsid w:val="4BC5C72D"/>
    <w:rsid w:val="4BC7783E"/>
    <w:rsid w:val="4BE139BE"/>
    <w:rsid w:val="4BE954ED"/>
    <w:rsid w:val="4BEA3B03"/>
    <w:rsid w:val="4BFE4DE0"/>
    <w:rsid w:val="4BFEDB97"/>
    <w:rsid w:val="4C014DB3"/>
    <w:rsid w:val="4C132BA9"/>
    <w:rsid w:val="4C1397FF"/>
    <w:rsid w:val="4C1C38E1"/>
    <w:rsid w:val="4C236C3E"/>
    <w:rsid w:val="4C3B09A0"/>
    <w:rsid w:val="4C4C0ECF"/>
    <w:rsid w:val="4C4F3E38"/>
    <w:rsid w:val="4C50559E"/>
    <w:rsid w:val="4C6CC251"/>
    <w:rsid w:val="4C95BA04"/>
    <w:rsid w:val="4C95EB87"/>
    <w:rsid w:val="4CA5F74A"/>
    <w:rsid w:val="4CAAD44D"/>
    <w:rsid w:val="4CAB2ED7"/>
    <w:rsid w:val="4CBD0E7A"/>
    <w:rsid w:val="4CDC161E"/>
    <w:rsid w:val="4CDE649E"/>
    <w:rsid w:val="4CE34DA2"/>
    <w:rsid w:val="4D01B9C0"/>
    <w:rsid w:val="4D18EF58"/>
    <w:rsid w:val="4D2B8251"/>
    <w:rsid w:val="4D4961B8"/>
    <w:rsid w:val="4D5BC353"/>
    <w:rsid w:val="4D773429"/>
    <w:rsid w:val="4D83665F"/>
    <w:rsid w:val="4D846F20"/>
    <w:rsid w:val="4D90121D"/>
    <w:rsid w:val="4DA27434"/>
    <w:rsid w:val="4DB682E5"/>
    <w:rsid w:val="4DB6E8B7"/>
    <w:rsid w:val="4DB77453"/>
    <w:rsid w:val="4E24701F"/>
    <w:rsid w:val="4E2B3FEA"/>
    <w:rsid w:val="4E3C0648"/>
    <w:rsid w:val="4E4A6665"/>
    <w:rsid w:val="4E64F47C"/>
    <w:rsid w:val="4E72C73A"/>
    <w:rsid w:val="4E762782"/>
    <w:rsid w:val="4E765485"/>
    <w:rsid w:val="4E86A1F0"/>
    <w:rsid w:val="4E88C66A"/>
    <w:rsid w:val="4E8E2BCD"/>
    <w:rsid w:val="4E950919"/>
    <w:rsid w:val="4E9A418D"/>
    <w:rsid w:val="4EAD80EE"/>
    <w:rsid w:val="4EB472AA"/>
    <w:rsid w:val="4EB4B771"/>
    <w:rsid w:val="4EB765FF"/>
    <w:rsid w:val="4EC80D3A"/>
    <w:rsid w:val="4ECC365F"/>
    <w:rsid w:val="4ED62641"/>
    <w:rsid w:val="4EDD2D29"/>
    <w:rsid w:val="4EE2294A"/>
    <w:rsid w:val="4EF01429"/>
    <w:rsid w:val="4EF4AF5F"/>
    <w:rsid w:val="4F0644EA"/>
    <w:rsid w:val="4F1BBEE4"/>
    <w:rsid w:val="4F25CBD5"/>
    <w:rsid w:val="4F49ECD5"/>
    <w:rsid w:val="4F4FD0B9"/>
    <w:rsid w:val="4F5E6FF5"/>
    <w:rsid w:val="4F75CA4F"/>
    <w:rsid w:val="4F829DC7"/>
    <w:rsid w:val="4FB16E15"/>
    <w:rsid w:val="4FD83020"/>
    <w:rsid w:val="4FDB0B30"/>
    <w:rsid w:val="4FDFDD9B"/>
    <w:rsid w:val="4FE51FA5"/>
    <w:rsid w:val="4FFABA67"/>
    <w:rsid w:val="50213213"/>
    <w:rsid w:val="504886CC"/>
    <w:rsid w:val="5049CB63"/>
    <w:rsid w:val="506B8FF8"/>
    <w:rsid w:val="5080C2A6"/>
    <w:rsid w:val="50836027"/>
    <w:rsid w:val="50863B1E"/>
    <w:rsid w:val="508CF280"/>
    <w:rsid w:val="5096063A"/>
    <w:rsid w:val="5097CAD5"/>
    <w:rsid w:val="50B23B27"/>
    <w:rsid w:val="50BAB257"/>
    <w:rsid w:val="50D3884F"/>
    <w:rsid w:val="50DED01B"/>
    <w:rsid w:val="50FE9395"/>
    <w:rsid w:val="5105923C"/>
    <w:rsid w:val="5107761E"/>
    <w:rsid w:val="51248E01"/>
    <w:rsid w:val="5129A899"/>
    <w:rsid w:val="513EB557"/>
    <w:rsid w:val="514312F4"/>
    <w:rsid w:val="51442A17"/>
    <w:rsid w:val="5146B428"/>
    <w:rsid w:val="5149D9B7"/>
    <w:rsid w:val="5174B172"/>
    <w:rsid w:val="51763C75"/>
    <w:rsid w:val="5181B1EA"/>
    <w:rsid w:val="5198F8C2"/>
    <w:rsid w:val="51A23F40"/>
    <w:rsid w:val="51A5180A"/>
    <w:rsid w:val="51CC268E"/>
    <w:rsid w:val="51D32234"/>
    <w:rsid w:val="51DF6E25"/>
    <w:rsid w:val="51E2220C"/>
    <w:rsid w:val="51F0107A"/>
    <w:rsid w:val="51F82A29"/>
    <w:rsid w:val="52002F6E"/>
    <w:rsid w:val="524E2E68"/>
    <w:rsid w:val="5255F32D"/>
    <w:rsid w:val="52682EB8"/>
    <w:rsid w:val="528D35B5"/>
    <w:rsid w:val="529A7F6E"/>
    <w:rsid w:val="52A82E4E"/>
    <w:rsid w:val="52C67490"/>
    <w:rsid w:val="52CAD3DC"/>
    <w:rsid w:val="52F63414"/>
    <w:rsid w:val="53023A3F"/>
    <w:rsid w:val="5328D281"/>
    <w:rsid w:val="532B2429"/>
    <w:rsid w:val="532D4CBD"/>
    <w:rsid w:val="533F3740"/>
    <w:rsid w:val="53414AB2"/>
    <w:rsid w:val="534DE0DE"/>
    <w:rsid w:val="534F7003"/>
    <w:rsid w:val="53534507"/>
    <w:rsid w:val="536F9425"/>
    <w:rsid w:val="537D06FB"/>
    <w:rsid w:val="5381CDB7"/>
    <w:rsid w:val="5381FC5D"/>
    <w:rsid w:val="539078EF"/>
    <w:rsid w:val="5396E50A"/>
    <w:rsid w:val="53A8AD08"/>
    <w:rsid w:val="53BD3ED4"/>
    <w:rsid w:val="53C381BC"/>
    <w:rsid w:val="5408121E"/>
    <w:rsid w:val="54204E2A"/>
    <w:rsid w:val="5422F2D6"/>
    <w:rsid w:val="54288F08"/>
    <w:rsid w:val="542C0916"/>
    <w:rsid w:val="543006C3"/>
    <w:rsid w:val="5431505A"/>
    <w:rsid w:val="5432B43F"/>
    <w:rsid w:val="545094F8"/>
    <w:rsid w:val="54581A02"/>
    <w:rsid w:val="5474DE41"/>
    <w:rsid w:val="548EBD74"/>
    <w:rsid w:val="549C8D00"/>
    <w:rsid w:val="549DA6C5"/>
    <w:rsid w:val="54AF4AF8"/>
    <w:rsid w:val="54F80403"/>
    <w:rsid w:val="54F888AB"/>
    <w:rsid w:val="5545E938"/>
    <w:rsid w:val="55595648"/>
    <w:rsid w:val="556499E2"/>
    <w:rsid w:val="556C0A45"/>
    <w:rsid w:val="55715D53"/>
    <w:rsid w:val="5571F633"/>
    <w:rsid w:val="559C0349"/>
    <w:rsid w:val="55A57239"/>
    <w:rsid w:val="55E4F35C"/>
    <w:rsid w:val="560695E6"/>
    <w:rsid w:val="5621D634"/>
    <w:rsid w:val="563BF47A"/>
    <w:rsid w:val="564524C0"/>
    <w:rsid w:val="56B8075D"/>
    <w:rsid w:val="56C14E8D"/>
    <w:rsid w:val="56CDE747"/>
    <w:rsid w:val="56D6415B"/>
    <w:rsid w:val="56E4BD8B"/>
    <w:rsid w:val="570053BE"/>
    <w:rsid w:val="57490200"/>
    <w:rsid w:val="575305F9"/>
    <w:rsid w:val="575F3D9E"/>
    <w:rsid w:val="5769A01C"/>
    <w:rsid w:val="5769E72C"/>
    <w:rsid w:val="578C4535"/>
    <w:rsid w:val="5795FF8C"/>
    <w:rsid w:val="57B79335"/>
    <w:rsid w:val="57E2DD08"/>
    <w:rsid w:val="57E51A60"/>
    <w:rsid w:val="57EBAF44"/>
    <w:rsid w:val="57FA2F49"/>
    <w:rsid w:val="580AE7AB"/>
    <w:rsid w:val="5825E96F"/>
    <w:rsid w:val="585AF431"/>
    <w:rsid w:val="585C7AA6"/>
    <w:rsid w:val="58B2F54A"/>
    <w:rsid w:val="58BCC91C"/>
    <w:rsid w:val="58CA6C57"/>
    <w:rsid w:val="59087167"/>
    <w:rsid w:val="590E79A9"/>
    <w:rsid w:val="590F6586"/>
    <w:rsid w:val="59175F04"/>
    <w:rsid w:val="597A3DCE"/>
    <w:rsid w:val="597BB932"/>
    <w:rsid w:val="59CEFD7B"/>
    <w:rsid w:val="59F91E07"/>
    <w:rsid w:val="5A0F7584"/>
    <w:rsid w:val="5A1691AB"/>
    <w:rsid w:val="5A345F4B"/>
    <w:rsid w:val="5A881CAF"/>
    <w:rsid w:val="5A8EA592"/>
    <w:rsid w:val="5A974A20"/>
    <w:rsid w:val="5AAC62BB"/>
    <w:rsid w:val="5AC075EA"/>
    <w:rsid w:val="5AC5B142"/>
    <w:rsid w:val="5ACC9A8A"/>
    <w:rsid w:val="5AD7EE5F"/>
    <w:rsid w:val="5AE934AA"/>
    <w:rsid w:val="5AF81721"/>
    <w:rsid w:val="5B26513B"/>
    <w:rsid w:val="5B27A01D"/>
    <w:rsid w:val="5B2FFAC9"/>
    <w:rsid w:val="5B35D6EE"/>
    <w:rsid w:val="5B4A6A7C"/>
    <w:rsid w:val="5B69D559"/>
    <w:rsid w:val="5B6CED07"/>
    <w:rsid w:val="5B82CEAA"/>
    <w:rsid w:val="5B930DD5"/>
    <w:rsid w:val="5B99BD5E"/>
    <w:rsid w:val="5B9B197E"/>
    <w:rsid w:val="5BADBB37"/>
    <w:rsid w:val="5BB37294"/>
    <w:rsid w:val="5BB511DB"/>
    <w:rsid w:val="5BBF2601"/>
    <w:rsid w:val="5BC56532"/>
    <w:rsid w:val="5BE49155"/>
    <w:rsid w:val="5C01D0BB"/>
    <w:rsid w:val="5C1DF87D"/>
    <w:rsid w:val="5C2F9307"/>
    <w:rsid w:val="5C7C3A10"/>
    <w:rsid w:val="5C820318"/>
    <w:rsid w:val="5C8C0F4A"/>
    <w:rsid w:val="5CBB158B"/>
    <w:rsid w:val="5CE632CE"/>
    <w:rsid w:val="5D0195F3"/>
    <w:rsid w:val="5D08BAAF"/>
    <w:rsid w:val="5D35CC18"/>
    <w:rsid w:val="5D3D655A"/>
    <w:rsid w:val="5D40CDFB"/>
    <w:rsid w:val="5D59792A"/>
    <w:rsid w:val="5D59D60B"/>
    <w:rsid w:val="5D62452B"/>
    <w:rsid w:val="5D70762D"/>
    <w:rsid w:val="5D8E4EF6"/>
    <w:rsid w:val="5D8FBF0E"/>
    <w:rsid w:val="5D91863B"/>
    <w:rsid w:val="5D99420F"/>
    <w:rsid w:val="5D9B582A"/>
    <w:rsid w:val="5DAEC16B"/>
    <w:rsid w:val="5DEB1B26"/>
    <w:rsid w:val="5DEEEFEC"/>
    <w:rsid w:val="5DF3FE1C"/>
    <w:rsid w:val="5E077A86"/>
    <w:rsid w:val="5E0C9763"/>
    <w:rsid w:val="5E1970D5"/>
    <w:rsid w:val="5E45D19C"/>
    <w:rsid w:val="5E46B94F"/>
    <w:rsid w:val="5E6B1C78"/>
    <w:rsid w:val="5E6B9956"/>
    <w:rsid w:val="5E7C0AEE"/>
    <w:rsid w:val="5ECFAA97"/>
    <w:rsid w:val="5ED7BC1A"/>
    <w:rsid w:val="5EF38A5D"/>
    <w:rsid w:val="5EFFC821"/>
    <w:rsid w:val="5F155C5F"/>
    <w:rsid w:val="5F18188C"/>
    <w:rsid w:val="5F43AFE3"/>
    <w:rsid w:val="5F45AC22"/>
    <w:rsid w:val="5F659719"/>
    <w:rsid w:val="5F69FC91"/>
    <w:rsid w:val="5F716B79"/>
    <w:rsid w:val="5F7279EB"/>
    <w:rsid w:val="5F746736"/>
    <w:rsid w:val="5F87213E"/>
    <w:rsid w:val="5F89C08C"/>
    <w:rsid w:val="5FE4CF11"/>
    <w:rsid w:val="5FF93B15"/>
    <w:rsid w:val="5FF9D910"/>
    <w:rsid w:val="6014963E"/>
    <w:rsid w:val="6038C063"/>
    <w:rsid w:val="6063CED8"/>
    <w:rsid w:val="60735D8F"/>
    <w:rsid w:val="60802BE7"/>
    <w:rsid w:val="608CE47F"/>
    <w:rsid w:val="608F8A33"/>
    <w:rsid w:val="60A886A8"/>
    <w:rsid w:val="60A8B925"/>
    <w:rsid w:val="60C3338C"/>
    <w:rsid w:val="60CC3905"/>
    <w:rsid w:val="60E6D77C"/>
    <w:rsid w:val="60EB0CDA"/>
    <w:rsid w:val="610DF6DE"/>
    <w:rsid w:val="61321C1A"/>
    <w:rsid w:val="614068B8"/>
    <w:rsid w:val="6149EFAB"/>
    <w:rsid w:val="616372BD"/>
    <w:rsid w:val="61871159"/>
    <w:rsid w:val="61A421D9"/>
    <w:rsid w:val="61A468C4"/>
    <w:rsid w:val="61A63C46"/>
    <w:rsid w:val="61BC777D"/>
    <w:rsid w:val="61CB868F"/>
    <w:rsid w:val="61E86F80"/>
    <w:rsid w:val="620C6569"/>
    <w:rsid w:val="621187E6"/>
    <w:rsid w:val="62499482"/>
    <w:rsid w:val="624F8CB1"/>
    <w:rsid w:val="6255157E"/>
    <w:rsid w:val="6255415B"/>
    <w:rsid w:val="6265F39A"/>
    <w:rsid w:val="62769FB4"/>
    <w:rsid w:val="627B99DA"/>
    <w:rsid w:val="62B1400E"/>
    <w:rsid w:val="62D357BD"/>
    <w:rsid w:val="62D9AE5A"/>
    <w:rsid w:val="62E30F57"/>
    <w:rsid w:val="630EA07D"/>
    <w:rsid w:val="632DB349"/>
    <w:rsid w:val="632F353A"/>
    <w:rsid w:val="6358CDE7"/>
    <w:rsid w:val="6367A4AE"/>
    <w:rsid w:val="636CB669"/>
    <w:rsid w:val="636F811F"/>
    <w:rsid w:val="63826603"/>
    <w:rsid w:val="638D8C15"/>
    <w:rsid w:val="638F783B"/>
    <w:rsid w:val="639AFA4F"/>
    <w:rsid w:val="639E1B56"/>
    <w:rsid w:val="63F8F5FE"/>
    <w:rsid w:val="64134810"/>
    <w:rsid w:val="642A7FFE"/>
    <w:rsid w:val="64322E72"/>
    <w:rsid w:val="6434ABBE"/>
    <w:rsid w:val="64541AD8"/>
    <w:rsid w:val="64AFB427"/>
    <w:rsid w:val="64BA6979"/>
    <w:rsid w:val="64BEBD30"/>
    <w:rsid w:val="64BFE02B"/>
    <w:rsid w:val="64E49CDC"/>
    <w:rsid w:val="651A7F8F"/>
    <w:rsid w:val="65345415"/>
    <w:rsid w:val="65380649"/>
    <w:rsid w:val="6541CE13"/>
    <w:rsid w:val="654CAAE0"/>
    <w:rsid w:val="65538EC9"/>
    <w:rsid w:val="6559433F"/>
    <w:rsid w:val="6565D989"/>
    <w:rsid w:val="65A1337D"/>
    <w:rsid w:val="65CB1055"/>
    <w:rsid w:val="65D3B8DE"/>
    <w:rsid w:val="65DD9BB8"/>
    <w:rsid w:val="65EA3745"/>
    <w:rsid w:val="65EDE633"/>
    <w:rsid w:val="660F2963"/>
    <w:rsid w:val="661B3E4A"/>
    <w:rsid w:val="6626E4E8"/>
    <w:rsid w:val="662B70DB"/>
    <w:rsid w:val="664F1437"/>
    <w:rsid w:val="6656557D"/>
    <w:rsid w:val="666B68C6"/>
    <w:rsid w:val="6692D4D8"/>
    <w:rsid w:val="669F3974"/>
    <w:rsid w:val="66B082CB"/>
    <w:rsid w:val="66ED1AFC"/>
    <w:rsid w:val="66F70844"/>
    <w:rsid w:val="6718593B"/>
    <w:rsid w:val="672A5C6C"/>
    <w:rsid w:val="67939EF4"/>
    <w:rsid w:val="6793B36E"/>
    <w:rsid w:val="67DBFD44"/>
    <w:rsid w:val="67EFFA20"/>
    <w:rsid w:val="68472946"/>
    <w:rsid w:val="6855BA67"/>
    <w:rsid w:val="68575F9E"/>
    <w:rsid w:val="68673B9E"/>
    <w:rsid w:val="6872B950"/>
    <w:rsid w:val="68778708"/>
    <w:rsid w:val="68795720"/>
    <w:rsid w:val="687A479A"/>
    <w:rsid w:val="68804D90"/>
    <w:rsid w:val="6883054A"/>
    <w:rsid w:val="68A281A9"/>
    <w:rsid w:val="68BC6F81"/>
    <w:rsid w:val="68CE5FBC"/>
    <w:rsid w:val="68E2A3E0"/>
    <w:rsid w:val="68F6501D"/>
    <w:rsid w:val="68F98EFC"/>
    <w:rsid w:val="68FEF295"/>
    <w:rsid w:val="6928F765"/>
    <w:rsid w:val="692A9033"/>
    <w:rsid w:val="6949421C"/>
    <w:rsid w:val="695622E7"/>
    <w:rsid w:val="695D1C77"/>
    <w:rsid w:val="695EA149"/>
    <w:rsid w:val="695F27D1"/>
    <w:rsid w:val="6965D0C7"/>
    <w:rsid w:val="69686747"/>
    <w:rsid w:val="698821A6"/>
    <w:rsid w:val="699C5DC1"/>
    <w:rsid w:val="69C1F00F"/>
    <w:rsid w:val="69DB9E64"/>
    <w:rsid w:val="69F33332"/>
    <w:rsid w:val="69F97D06"/>
    <w:rsid w:val="6A3D7CF8"/>
    <w:rsid w:val="6A719FB2"/>
    <w:rsid w:val="6A7A468F"/>
    <w:rsid w:val="6A7A8868"/>
    <w:rsid w:val="6A80BEC9"/>
    <w:rsid w:val="6AA6BC5E"/>
    <w:rsid w:val="6B12A0B4"/>
    <w:rsid w:val="6B18411A"/>
    <w:rsid w:val="6B281BC7"/>
    <w:rsid w:val="6B2BCBAF"/>
    <w:rsid w:val="6B4BF0FD"/>
    <w:rsid w:val="6B4CFAA1"/>
    <w:rsid w:val="6B533E8C"/>
    <w:rsid w:val="6B57CFA8"/>
    <w:rsid w:val="6B5EFEE6"/>
    <w:rsid w:val="6B64F25A"/>
    <w:rsid w:val="6B6CD9EE"/>
    <w:rsid w:val="6B828ED0"/>
    <w:rsid w:val="6B909737"/>
    <w:rsid w:val="6B9F61D3"/>
    <w:rsid w:val="6BA9421A"/>
    <w:rsid w:val="6BA9AEAB"/>
    <w:rsid w:val="6BB17D74"/>
    <w:rsid w:val="6BB42FF2"/>
    <w:rsid w:val="6BBECE97"/>
    <w:rsid w:val="6BD44261"/>
    <w:rsid w:val="6BFD587A"/>
    <w:rsid w:val="6C151C5B"/>
    <w:rsid w:val="6C23655E"/>
    <w:rsid w:val="6C24960B"/>
    <w:rsid w:val="6C328740"/>
    <w:rsid w:val="6C7048C1"/>
    <w:rsid w:val="6C77E38F"/>
    <w:rsid w:val="6CA7EAAC"/>
    <w:rsid w:val="6CA80158"/>
    <w:rsid w:val="6CBFAE04"/>
    <w:rsid w:val="6CCF97A6"/>
    <w:rsid w:val="6CE129BF"/>
    <w:rsid w:val="6D1BCB44"/>
    <w:rsid w:val="6D2D75D2"/>
    <w:rsid w:val="6D52CB52"/>
    <w:rsid w:val="6DB56853"/>
    <w:rsid w:val="6E086BF2"/>
    <w:rsid w:val="6E1E2F35"/>
    <w:rsid w:val="6E5662B5"/>
    <w:rsid w:val="6E823B78"/>
    <w:rsid w:val="6E8A37A7"/>
    <w:rsid w:val="6E9F4519"/>
    <w:rsid w:val="6ED9750A"/>
    <w:rsid w:val="6EE15411"/>
    <w:rsid w:val="6F24166A"/>
    <w:rsid w:val="6F25FB6B"/>
    <w:rsid w:val="6F522036"/>
    <w:rsid w:val="6F7622DD"/>
    <w:rsid w:val="6F78D4E1"/>
    <w:rsid w:val="6F877FEC"/>
    <w:rsid w:val="6F8E01F5"/>
    <w:rsid w:val="6FCD3D5D"/>
    <w:rsid w:val="6FD3C2EE"/>
    <w:rsid w:val="6FDA7AE6"/>
    <w:rsid w:val="6FF75D3C"/>
    <w:rsid w:val="6FF9D1D3"/>
    <w:rsid w:val="700FB4CD"/>
    <w:rsid w:val="70257FFC"/>
    <w:rsid w:val="7054FAA0"/>
    <w:rsid w:val="706B1105"/>
    <w:rsid w:val="7083BF9E"/>
    <w:rsid w:val="70851613"/>
    <w:rsid w:val="708C5541"/>
    <w:rsid w:val="70A48E24"/>
    <w:rsid w:val="70DB9605"/>
    <w:rsid w:val="70E477B5"/>
    <w:rsid w:val="70EABA33"/>
    <w:rsid w:val="71137325"/>
    <w:rsid w:val="713B7621"/>
    <w:rsid w:val="714415E7"/>
    <w:rsid w:val="714488CA"/>
    <w:rsid w:val="7177BAC3"/>
    <w:rsid w:val="718A8AAF"/>
    <w:rsid w:val="71985B87"/>
    <w:rsid w:val="7199E038"/>
    <w:rsid w:val="71A446FC"/>
    <w:rsid w:val="71AC3B93"/>
    <w:rsid w:val="71B19305"/>
    <w:rsid w:val="71E123D4"/>
    <w:rsid w:val="720E0136"/>
    <w:rsid w:val="72130E4D"/>
    <w:rsid w:val="7234E7A4"/>
    <w:rsid w:val="726830F7"/>
    <w:rsid w:val="726B0EB9"/>
    <w:rsid w:val="72979DA0"/>
    <w:rsid w:val="72A4EF35"/>
    <w:rsid w:val="72A6EB69"/>
    <w:rsid w:val="72BDFB3F"/>
    <w:rsid w:val="72D635B3"/>
    <w:rsid w:val="72DC4BB1"/>
    <w:rsid w:val="7302B8DF"/>
    <w:rsid w:val="7356C189"/>
    <w:rsid w:val="738828B4"/>
    <w:rsid w:val="73A9E24F"/>
    <w:rsid w:val="73AF31A1"/>
    <w:rsid w:val="73B3ACE9"/>
    <w:rsid w:val="73C126AA"/>
    <w:rsid w:val="73C45A01"/>
    <w:rsid w:val="73CB0BF5"/>
    <w:rsid w:val="73CF4A97"/>
    <w:rsid w:val="73D50E79"/>
    <w:rsid w:val="73E97D2A"/>
    <w:rsid w:val="73F67714"/>
    <w:rsid w:val="74156CE5"/>
    <w:rsid w:val="74200442"/>
    <w:rsid w:val="743F4B57"/>
    <w:rsid w:val="744B2672"/>
    <w:rsid w:val="74792D48"/>
    <w:rsid w:val="74CC25AE"/>
    <w:rsid w:val="74DD543F"/>
    <w:rsid w:val="74EFDE86"/>
    <w:rsid w:val="74F13744"/>
    <w:rsid w:val="7505BF62"/>
    <w:rsid w:val="752CD64A"/>
    <w:rsid w:val="753720EA"/>
    <w:rsid w:val="753E9027"/>
    <w:rsid w:val="757BC3D3"/>
    <w:rsid w:val="75816F99"/>
    <w:rsid w:val="75B52AED"/>
    <w:rsid w:val="75B8BE18"/>
    <w:rsid w:val="75CA7065"/>
    <w:rsid w:val="75CBFC9C"/>
    <w:rsid w:val="75D0BD06"/>
    <w:rsid w:val="75E8F6BC"/>
    <w:rsid w:val="75FF0A69"/>
    <w:rsid w:val="7600962C"/>
    <w:rsid w:val="76025DC7"/>
    <w:rsid w:val="760F3745"/>
    <w:rsid w:val="761B4B5F"/>
    <w:rsid w:val="762668F7"/>
    <w:rsid w:val="765AB56E"/>
    <w:rsid w:val="765DCC4F"/>
    <w:rsid w:val="76663762"/>
    <w:rsid w:val="767A3761"/>
    <w:rsid w:val="768C7DAC"/>
    <w:rsid w:val="76973A6C"/>
    <w:rsid w:val="76981E96"/>
    <w:rsid w:val="769BDCD6"/>
    <w:rsid w:val="76AF066F"/>
    <w:rsid w:val="76B25DFE"/>
    <w:rsid w:val="76B3974E"/>
    <w:rsid w:val="76B9D2CD"/>
    <w:rsid w:val="76D2996B"/>
    <w:rsid w:val="76E245C1"/>
    <w:rsid w:val="76F6DEAB"/>
    <w:rsid w:val="76FC46F5"/>
    <w:rsid w:val="7704E166"/>
    <w:rsid w:val="7708C23E"/>
    <w:rsid w:val="77142FEA"/>
    <w:rsid w:val="771ED52A"/>
    <w:rsid w:val="7720FCCA"/>
    <w:rsid w:val="773227E3"/>
    <w:rsid w:val="77328EFC"/>
    <w:rsid w:val="775C2742"/>
    <w:rsid w:val="778E2AC7"/>
    <w:rsid w:val="779946A0"/>
    <w:rsid w:val="77B63A09"/>
    <w:rsid w:val="77B7CD59"/>
    <w:rsid w:val="77B8ADEC"/>
    <w:rsid w:val="77CD89D9"/>
    <w:rsid w:val="77CE0684"/>
    <w:rsid w:val="77EADE33"/>
    <w:rsid w:val="77EFE9A3"/>
    <w:rsid w:val="77FA81F4"/>
    <w:rsid w:val="77FBECCC"/>
    <w:rsid w:val="78136435"/>
    <w:rsid w:val="78147989"/>
    <w:rsid w:val="7818276D"/>
    <w:rsid w:val="7838867B"/>
    <w:rsid w:val="784DED2B"/>
    <w:rsid w:val="785E7DF3"/>
    <w:rsid w:val="78643D74"/>
    <w:rsid w:val="7867DD96"/>
    <w:rsid w:val="787894EE"/>
    <w:rsid w:val="787EB060"/>
    <w:rsid w:val="78895065"/>
    <w:rsid w:val="789034BF"/>
    <w:rsid w:val="78C1843C"/>
    <w:rsid w:val="78D5D1F5"/>
    <w:rsid w:val="78ED7B00"/>
    <w:rsid w:val="790E66B7"/>
    <w:rsid w:val="79403A21"/>
    <w:rsid w:val="794B5224"/>
    <w:rsid w:val="7983DDA9"/>
    <w:rsid w:val="79ADB2D1"/>
    <w:rsid w:val="79AF5D62"/>
    <w:rsid w:val="79C9047B"/>
    <w:rsid w:val="79D5A0B1"/>
    <w:rsid w:val="79D9343F"/>
    <w:rsid w:val="79DB33DB"/>
    <w:rsid w:val="79E1B971"/>
    <w:rsid w:val="79F68937"/>
    <w:rsid w:val="79FCA994"/>
    <w:rsid w:val="7A0395DF"/>
    <w:rsid w:val="7A0ADF0E"/>
    <w:rsid w:val="7A0D415E"/>
    <w:rsid w:val="7A0D48F8"/>
    <w:rsid w:val="7A37A63C"/>
    <w:rsid w:val="7A41D9B0"/>
    <w:rsid w:val="7A4A21D0"/>
    <w:rsid w:val="7A526C33"/>
    <w:rsid w:val="7A8C839D"/>
    <w:rsid w:val="7AA45AD8"/>
    <w:rsid w:val="7AC0944D"/>
    <w:rsid w:val="7AC12887"/>
    <w:rsid w:val="7ACB65BE"/>
    <w:rsid w:val="7B02BD39"/>
    <w:rsid w:val="7B1433F7"/>
    <w:rsid w:val="7B25038A"/>
    <w:rsid w:val="7B38C241"/>
    <w:rsid w:val="7B4800AC"/>
    <w:rsid w:val="7B603A1A"/>
    <w:rsid w:val="7B6FF9E2"/>
    <w:rsid w:val="7B7646C6"/>
    <w:rsid w:val="7B984083"/>
    <w:rsid w:val="7BA1F167"/>
    <w:rsid w:val="7BB39CBB"/>
    <w:rsid w:val="7BC2FD8F"/>
    <w:rsid w:val="7BC5BA7E"/>
    <w:rsid w:val="7BD93371"/>
    <w:rsid w:val="7BDB4BA2"/>
    <w:rsid w:val="7BDBDFCA"/>
    <w:rsid w:val="7BED869D"/>
    <w:rsid w:val="7BF710AC"/>
    <w:rsid w:val="7C05044E"/>
    <w:rsid w:val="7C0E3DFB"/>
    <w:rsid w:val="7C0E9679"/>
    <w:rsid w:val="7C2CF392"/>
    <w:rsid w:val="7C58173E"/>
    <w:rsid w:val="7C590491"/>
    <w:rsid w:val="7C59EC6C"/>
    <w:rsid w:val="7C666F1B"/>
    <w:rsid w:val="7C71EFC5"/>
    <w:rsid w:val="7C87624E"/>
    <w:rsid w:val="7C87E194"/>
    <w:rsid w:val="7C8DD6D3"/>
    <w:rsid w:val="7CAD528D"/>
    <w:rsid w:val="7CB00205"/>
    <w:rsid w:val="7CC30CFF"/>
    <w:rsid w:val="7CD1C558"/>
    <w:rsid w:val="7CE3D35C"/>
    <w:rsid w:val="7CF2DA7C"/>
    <w:rsid w:val="7CF4CE1D"/>
    <w:rsid w:val="7CFCFD1A"/>
    <w:rsid w:val="7D1D1210"/>
    <w:rsid w:val="7D33B28A"/>
    <w:rsid w:val="7D3EC837"/>
    <w:rsid w:val="7D3FF029"/>
    <w:rsid w:val="7D425CEC"/>
    <w:rsid w:val="7D581893"/>
    <w:rsid w:val="7D5C8AC7"/>
    <w:rsid w:val="7D66C11C"/>
    <w:rsid w:val="7D670D32"/>
    <w:rsid w:val="7D694373"/>
    <w:rsid w:val="7D7F0B05"/>
    <w:rsid w:val="7D99D7EA"/>
    <w:rsid w:val="7DBFD9FC"/>
    <w:rsid w:val="7DD2F164"/>
    <w:rsid w:val="7DD5F6E3"/>
    <w:rsid w:val="7DE84D58"/>
    <w:rsid w:val="7E075CBD"/>
    <w:rsid w:val="7E0AAE81"/>
    <w:rsid w:val="7E0FE349"/>
    <w:rsid w:val="7E1B6A45"/>
    <w:rsid w:val="7E28D9DF"/>
    <w:rsid w:val="7E3E199F"/>
    <w:rsid w:val="7E4077EE"/>
    <w:rsid w:val="7E4416F9"/>
    <w:rsid w:val="7E87B7F7"/>
    <w:rsid w:val="7E90CCFC"/>
    <w:rsid w:val="7EBD0EF1"/>
    <w:rsid w:val="7EBFA073"/>
    <w:rsid w:val="7EC44A20"/>
    <w:rsid w:val="7EEB0B55"/>
    <w:rsid w:val="7EFD3AF1"/>
    <w:rsid w:val="7F1E0B86"/>
    <w:rsid w:val="7F6266E3"/>
    <w:rsid w:val="7F76B304"/>
    <w:rsid w:val="7F7A6435"/>
    <w:rsid w:val="7F7FCE4E"/>
    <w:rsid w:val="7FA809D0"/>
    <w:rsid w:val="7FCEC35B"/>
    <w:rsid w:val="7FD01DA9"/>
    <w:rsid w:val="7FE7DD65"/>
    <w:rsid w:val="7FE85D91"/>
    <w:rsid w:val="7FEF777B"/>
    <w:rsid w:val="7FF53F7D"/>
    <w:rsid w:val="7FFCBCF7"/>
    <w:rsid w:val="7FFF835F"/>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F87C7F"/>
  <w15:chartTrackingRefBased/>
  <w15:docId w15:val="{35705DA3-87EE-451A-9E0E-7B4BCF656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1C3F79"/>
  </w:style>
  <w:style w:type="paragraph" w:styleId="Pealkiri1">
    <w:name w:val="heading 1"/>
    <w:basedOn w:val="Normaallaad"/>
    <w:next w:val="Normaallaad"/>
    <w:link w:val="Pealkiri1Mrk"/>
    <w:uiPriority w:val="9"/>
    <w:rsid w:val="0070698F"/>
    <w:pPr>
      <w:keepNext/>
      <w:keepLines/>
      <w:spacing w:before="240" w:after="0" w:line="240" w:lineRule="auto"/>
      <w:outlineLvl w:val="0"/>
    </w:pPr>
    <w:rPr>
      <w:rFonts w:asciiTheme="majorHAnsi" w:eastAsiaTheme="majorEastAsia" w:hAnsiTheme="majorHAnsi" w:cstheme="majorBidi"/>
      <w:color w:val="1F1F5E"/>
      <w:sz w:val="32"/>
      <w:szCs w:val="32"/>
    </w:rPr>
  </w:style>
  <w:style w:type="paragraph" w:styleId="Pealkiri3">
    <w:name w:val="heading 3"/>
    <w:basedOn w:val="Normaallaad"/>
    <w:next w:val="Normaallaad"/>
    <w:link w:val="Pealkiri3Mrk"/>
    <w:uiPriority w:val="9"/>
    <w:semiHidden/>
    <w:unhideWhenUsed/>
    <w:qFormat/>
    <w:rsid w:val="00EA0CD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Pealkiri4">
    <w:name w:val="heading 4"/>
    <w:basedOn w:val="Normaallaad"/>
    <w:next w:val="Normaallaad"/>
    <w:link w:val="Pealkiri4Mrk"/>
    <w:uiPriority w:val="9"/>
    <w:semiHidden/>
    <w:unhideWhenUsed/>
    <w:qFormat/>
    <w:rsid w:val="002E055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Pealkiri6">
    <w:name w:val="heading 6"/>
    <w:basedOn w:val="Normaallaad"/>
    <w:next w:val="Normaallaad"/>
    <w:link w:val="Pealkiri6Mrk"/>
    <w:rsid w:val="0070698F"/>
    <w:pPr>
      <w:numPr>
        <w:ilvl w:val="5"/>
        <w:numId w:val="7"/>
      </w:numPr>
      <w:spacing w:before="240" w:after="60" w:line="240" w:lineRule="auto"/>
      <w:outlineLvl w:val="5"/>
    </w:pPr>
    <w:rPr>
      <w:rFonts w:ascii="Times New Roman" w:eastAsia="Times New Roman" w:hAnsi="Times New Roman" w:cs="Times New Roman"/>
      <w:b/>
      <w:bCs/>
      <w:sz w:val="24"/>
      <w:szCs w:val="24"/>
      <w:lang w:eastAsia="et-EE"/>
    </w:rPr>
  </w:style>
  <w:style w:type="paragraph" w:styleId="Pealkiri7">
    <w:name w:val="heading 7"/>
    <w:basedOn w:val="Normaallaad"/>
    <w:next w:val="Normaallaad"/>
    <w:link w:val="Pealkiri7Mrk"/>
    <w:rsid w:val="0070698F"/>
    <w:pPr>
      <w:numPr>
        <w:ilvl w:val="6"/>
        <w:numId w:val="7"/>
      </w:numPr>
      <w:spacing w:before="240" w:after="60" w:line="240" w:lineRule="auto"/>
      <w:outlineLvl w:val="6"/>
    </w:pPr>
    <w:rPr>
      <w:rFonts w:ascii="Times New Roman" w:eastAsia="Times New Roman" w:hAnsi="Times New Roman" w:cs="Times New Roman"/>
      <w:sz w:val="24"/>
      <w:szCs w:val="24"/>
      <w:lang w:eastAsia="et-EE"/>
    </w:rPr>
  </w:style>
  <w:style w:type="paragraph" w:styleId="Pealkiri8">
    <w:name w:val="heading 8"/>
    <w:basedOn w:val="Normaallaad"/>
    <w:next w:val="Normaallaad"/>
    <w:link w:val="Pealkiri8Mrk"/>
    <w:rsid w:val="0070698F"/>
    <w:pPr>
      <w:numPr>
        <w:ilvl w:val="7"/>
        <w:numId w:val="7"/>
      </w:numPr>
      <w:spacing w:before="240" w:after="60" w:line="240" w:lineRule="auto"/>
      <w:outlineLvl w:val="7"/>
    </w:pPr>
    <w:rPr>
      <w:rFonts w:ascii="Times New Roman" w:eastAsia="Times New Roman" w:hAnsi="Times New Roman" w:cs="Times New Roman"/>
      <w:i/>
      <w:iCs/>
      <w:sz w:val="24"/>
      <w:szCs w:val="24"/>
      <w:lang w:eastAsia="et-EE"/>
    </w:rPr>
  </w:style>
  <w:style w:type="paragraph" w:styleId="Pealkiri9">
    <w:name w:val="heading 9"/>
    <w:basedOn w:val="Normaallaad"/>
    <w:next w:val="Normaallaad"/>
    <w:link w:val="Pealkiri9Mrk"/>
    <w:rsid w:val="0070698F"/>
    <w:pPr>
      <w:numPr>
        <w:ilvl w:val="8"/>
        <w:numId w:val="7"/>
      </w:numPr>
      <w:spacing w:before="240" w:after="60" w:line="240" w:lineRule="auto"/>
      <w:outlineLvl w:val="8"/>
    </w:pPr>
    <w:rPr>
      <w:rFonts w:ascii="Arial" w:eastAsia="Times New Roman" w:hAnsi="Arial" w:cs="Arial"/>
      <w:sz w:val="24"/>
      <w:szCs w:val="24"/>
      <w:lang w:eastAsia="et-E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70698F"/>
    <w:rPr>
      <w:rFonts w:asciiTheme="majorHAnsi" w:eastAsiaTheme="majorEastAsia" w:hAnsiTheme="majorHAnsi" w:cstheme="majorBidi"/>
      <w:color w:val="1F1F5E"/>
      <w:sz w:val="32"/>
      <w:szCs w:val="32"/>
    </w:rPr>
  </w:style>
  <w:style w:type="character" w:customStyle="1" w:styleId="Pealkiri6Mrk">
    <w:name w:val="Pealkiri 6 Märk"/>
    <w:basedOn w:val="Liguvaikefont"/>
    <w:link w:val="Pealkiri6"/>
    <w:rsid w:val="0070698F"/>
    <w:rPr>
      <w:rFonts w:ascii="Times New Roman" w:eastAsia="Times New Roman" w:hAnsi="Times New Roman" w:cs="Times New Roman"/>
      <w:b/>
      <w:bCs/>
      <w:sz w:val="24"/>
      <w:szCs w:val="24"/>
      <w:lang w:eastAsia="et-EE"/>
    </w:rPr>
  </w:style>
  <w:style w:type="character" w:customStyle="1" w:styleId="Pealkiri7Mrk">
    <w:name w:val="Pealkiri 7 Märk"/>
    <w:basedOn w:val="Liguvaikefont"/>
    <w:link w:val="Pealkiri7"/>
    <w:rsid w:val="0070698F"/>
    <w:rPr>
      <w:rFonts w:ascii="Times New Roman" w:eastAsia="Times New Roman" w:hAnsi="Times New Roman" w:cs="Times New Roman"/>
      <w:sz w:val="24"/>
      <w:szCs w:val="24"/>
      <w:lang w:eastAsia="et-EE"/>
    </w:rPr>
  </w:style>
  <w:style w:type="character" w:customStyle="1" w:styleId="Pealkiri8Mrk">
    <w:name w:val="Pealkiri 8 Märk"/>
    <w:basedOn w:val="Liguvaikefont"/>
    <w:link w:val="Pealkiri8"/>
    <w:rsid w:val="0070698F"/>
    <w:rPr>
      <w:rFonts w:ascii="Times New Roman" w:eastAsia="Times New Roman" w:hAnsi="Times New Roman" w:cs="Times New Roman"/>
      <w:i/>
      <w:iCs/>
      <w:sz w:val="24"/>
      <w:szCs w:val="24"/>
      <w:lang w:eastAsia="et-EE"/>
    </w:rPr>
  </w:style>
  <w:style w:type="character" w:customStyle="1" w:styleId="Pealkiri9Mrk">
    <w:name w:val="Pealkiri 9 Märk"/>
    <w:basedOn w:val="Liguvaikefont"/>
    <w:link w:val="Pealkiri9"/>
    <w:rsid w:val="0070698F"/>
    <w:rPr>
      <w:rFonts w:ascii="Arial" w:eastAsia="Times New Roman" w:hAnsi="Arial" w:cs="Arial"/>
      <w:sz w:val="24"/>
      <w:szCs w:val="24"/>
      <w:lang w:eastAsia="et-EE"/>
    </w:rPr>
  </w:style>
  <w:style w:type="paragraph" w:customStyle="1" w:styleId="SLONormal">
    <w:name w:val="SLO Normal"/>
    <w:qFormat/>
    <w:rsid w:val="0070698F"/>
    <w:pPr>
      <w:spacing w:before="120" w:after="120" w:line="240" w:lineRule="auto"/>
      <w:jc w:val="both"/>
    </w:pPr>
    <w:rPr>
      <w:rFonts w:ascii="Times New Roman" w:eastAsia="Times New Roman" w:hAnsi="Times New Roman" w:cs="Times New Roman"/>
      <w:sz w:val="24"/>
      <w:szCs w:val="24"/>
      <w:lang w:val="en-GB"/>
    </w:rPr>
  </w:style>
  <w:style w:type="paragraph" w:customStyle="1" w:styleId="1stlevelheading">
    <w:name w:val="1st level (heading)"/>
    <w:next w:val="SLONormal"/>
    <w:uiPriority w:val="1"/>
    <w:qFormat/>
    <w:rsid w:val="0070698F"/>
    <w:pPr>
      <w:keepNext/>
      <w:numPr>
        <w:numId w:val="2"/>
      </w:numPr>
      <w:spacing w:before="360" w:after="240" w:line="240" w:lineRule="auto"/>
      <w:jc w:val="both"/>
      <w:outlineLvl w:val="0"/>
    </w:pPr>
    <w:rPr>
      <w:rFonts w:ascii="Times New Roman" w:eastAsia="Times New Roman" w:hAnsi="Times New Roman" w:cs="Times New Roman"/>
      <w:b/>
      <w:caps/>
      <w:spacing w:val="20"/>
      <w:sz w:val="24"/>
      <w:szCs w:val="24"/>
      <w:lang w:val="en-GB"/>
    </w:rPr>
  </w:style>
  <w:style w:type="paragraph" w:customStyle="1" w:styleId="2ndlevelheading">
    <w:name w:val="2nd level (heading)"/>
    <w:basedOn w:val="1stlevelheading"/>
    <w:next w:val="SLONormal"/>
    <w:uiPriority w:val="1"/>
    <w:qFormat/>
    <w:rsid w:val="0070698F"/>
    <w:pPr>
      <w:numPr>
        <w:ilvl w:val="1"/>
      </w:numPr>
      <w:tabs>
        <w:tab w:val="clear" w:pos="964"/>
        <w:tab w:val="num" w:pos="360"/>
      </w:tabs>
      <w:spacing w:before="240"/>
      <w:outlineLvl w:val="1"/>
    </w:pPr>
    <w:rPr>
      <w:caps w:val="0"/>
      <w:spacing w:val="0"/>
    </w:rPr>
  </w:style>
  <w:style w:type="paragraph" w:customStyle="1" w:styleId="3rdlevelheading">
    <w:name w:val="3rd level (heading)"/>
    <w:basedOn w:val="2ndlevelheading"/>
    <w:next w:val="SLONormal"/>
    <w:uiPriority w:val="1"/>
    <w:qFormat/>
    <w:rsid w:val="0070698F"/>
    <w:pPr>
      <w:numPr>
        <w:ilvl w:val="2"/>
      </w:numPr>
      <w:outlineLvl w:val="2"/>
    </w:pPr>
    <w:rPr>
      <w:i/>
    </w:rPr>
  </w:style>
  <w:style w:type="paragraph" w:customStyle="1" w:styleId="4thlevelheading">
    <w:name w:val="4th level (heading)"/>
    <w:basedOn w:val="3rdlevelheading"/>
    <w:next w:val="SLONormal"/>
    <w:uiPriority w:val="1"/>
    <w:qFormat/>
    <w:rsid w:val="0070698F"/>
    <w:pPr>
      <w:numPr>
        <w:ilvl w:val="3"/>
      </w:numPr>
      <w:spacing w:after="120"/>
      <w:outlineLvl w:val="3"/>
    </w:pPr>
    <w:rPr>
      <w:b w:val="0"/>
    </w:rPr>
  </w:style>
  <w:style w:type="paragraph" w:customStyle="1" w:styleId="5thlevelheading">
    <w:name w:val="5th level (heading)"/>
    <w:basedOn w:val="4thlevelheading"/>
    <w:next w:val="SLONormal"/>
    <w:uiPriority w:val="1"/>
    <w:qFormat/>
    <w:rsid w:val="0070698F"/>
    <w:pPr>
      <w:numPr>
        <w:ilvl w:val="4"/>
      </w:numPr>
      <w:outlineLvl w:val="4"/>
    </w:pPr>
    <w:rPr>
      <w:i w:val="0"/>
      <w:u w:val="single"/>
    </w:rPr>
  </w:style>
  <w:style w:type="paragraph" w:customStyle="1" w:styleId="2ndlevelprovision">
    <w:name w:val="2nd level (provision)"/>
    <w:basedOn w:val="2ndlevelheading"/>
    <w:uiPriority w:val="2"/>
    <w:qFormat/>
    <w:rsid w:val="0070698F"/>
    <w:pPr>
      <w:keepNext w:val="0"/>
      <w:spacing w:before="120" w:after="120"/>
    </w:pPr>
    <w:rPr>
      <w:b w:val="0"/>
    </w:rPr>
  </w:style>
  <w:style w:type="paragraph" w:customStyle="1" w:styleId="3rdlevelsubprovision">
    <w:name w:val="3rd level (subprovision)"/>
    <w:basedOn w:val="3rdlevelheading"/>
    <w:uiPriority w:val="2"/>
    <w:qFormat/>
    <w:rsid w:val="0070698F"/>
    <w:pPr>
      <w:keepNext w:val="0"/>
      <w:spacing w:before="120" w:after="120"/>
    </w:pPr>
    <w:rPr>
      <w:b w:val="0"/>
      <w:i w:val="0"/>
    </w:rPr>
  </w:style>
  <w:style w:type="paragraph" w:customStyle="1" w:styleId="4thlevellist">
    <w:name w:val="4th level (list)"/>
    <w:basedOn w:val="4thlevelheading"/>
    <w:uiPriority w:val="2"/>
    <w:qFormat/>
    <w:rsid w:val="0070698F"/>
    <w:pPr>
      <w:keepNext w:val="0"/>
      <w:spacing w:before="120"/>
      <w:ind w:left="1135"/>
    </w:pPr>
    <w:rPr>
      <w:i w:val="0"/>
    </w:rPr>
  </w:style>
  <w:style w:type="paragraph" w:customStyle="1" w:styleId="5thlevel">
    <w:name w:val="5th level"/>
    <w:basedOn w:val="5thlevelheading"/>
    <w:uiPriority w:val="2"/>
    <w:qFormat/>
    <w:rsid w:val="0070698F"/>
    <w:pPr>
      <w:keepNext w:val="0"/>
      <w:spacing w:before="120"/>
      <w:ind w:left="1418"/>
    </w:pPr>
    <w:rPr>
      <w:u w:val="none"/>
    </w:rPr>
  </w:style>
  <w:style w:type="paragraph" w:customStyle="1" w:styleId="SLOReportTitle">
    <w:name w:val="SLO Report Title"/>
    <w:basedOn w:val="SLONormal"/>
    <w:next w:val="SLONormal"/>
    <w:uiPriority w:val="3"/>
    <w:qFormat/>
    <w:rsid w:val="0070698F"/>
    <w:pPr>
      <w:spacing w:before="360" w:after="360"/>
      <w:jc w:val="left"/>
    </w:pPr>
    <w:rPr>
      <w:b/>
      <w:caps/>
      <w:sz w:val="28"/>
    </w:rPr>
  </w:style>
  <w:style w:type="paragraph" w:customStyle="1" w:styleId="SLOAgreementTitle">
    <w:name w:val="SLO Agreement Title"/>
    <w:basedOn w:val="SLOReportTitle"/>
    <w:next w:val="SLONormal"/>
    <w:uiPriority w:val="3"/>
    <w:qFormat/>
    <w:rsid w:val="0070698F"/>
    <w:pPr>
      <w:jc w:val="center"/>
    </w:pPr>
  </w:style>
  <w:style w:type="paragraph" w:customStyle="1" w:styleId="SLOList">
    <w:name w:val="SLO List"/>
    <w:uiPriority w:val="4"/>
    <w:qFormat/>
    <w:rsid w:val="0070698F"/>
    <w:pPr>
      <w:numPr>
        <w:numId w:val="3"/>
      </w:numPr>
      <w:spacing w:before="60" w:after="60" w:line="240" w:lineRule="auto"/>
      <w:jc w:val="both"/>
    </w:pPr>
    <w:rPr>
      <w:rFonts w:ascii="Times New Roman" w:eastAsia="Times New Roman" w:hAnsi="Times New Roman" w:cs="Times New Roman"/>
      <w:kern w:val="24"/>
      <w:sz w:val="24"/>
      <w:szCs w:val="24"/>
      <w:lang w:val="en-GB"/>
    </w:rPr>
  </w:style>
  <w:style w:type="paragraph" w:customStyle="1" w:styleId="SLONumberedList">
    <w:name w:val="SLO Numbered List"/>
    <w:uiPriority w:val="4"/>
    <w:qFormat/>
    <w:rsid w:val="0070698F"/>
    <w:pPr>
      <w:numPr>
        <w:numId w:val="17"/>
      </w:numPr>
      <w:spacing w:before="60" w:after="60" w:line="240" w:lineRule="auto"/>
      <w:jc w:val="both"/>
    </w:pPr>
    <w:rPr>
      <w:rFonts w:ascii="Times New Roman" w:eastAsia="Times New Roman" w:hAnsi="Times New Roman" w:cs="Times New Roman"/>
      <w:kern w:val="24"/>
      <w:sz w:val="24"/>
      <w:szCs w:val="24"/>
      <w:lang w:val="en-GB"/>
    </w:rPr>
  </w:style>
  <w:style w:type="paragraph" w:customStyle="1" w:styleId="NCNumbering">
    <w:name w:val="NC Numbering"/>
    <w:uiPriority w:val="4"/>
    <w:qFormat/>
    <w:rsid w:val="0070698F"/>
    <w:pPr>
      <w:numPr>
        <w:numId w:val="6"/>
      </w:numPr>
      <w:spacing w:before="60" w:after="60" w:line="240" w:lineRule="auto"/>
      <w:jc w:val="both"/>
    </w:pPr>
    <w:rPr>
      <w:rFonts w:ascii="Times New Roman" w:eastAsia="Times New Roman" w:hAnsi="Times New Roman" w:cs="Times New Roman"/>
      <w:kern w:val="24"/>
      <w:sz w:val="24"/>
      <w:szCs w:val="24"/>
      <w:lang w:val="en-GB"/>
    </w:rPr>
  </w:style>
  <w:style w:type="paragraph" w:styleId="Pis">
    <w:name w:val="header"/>
    <w:basedOn w:val="SLONormalSmall"/>
    <w:link w:val="PisMrk"/>
    <w:uiPriority w:val="99"/>
    <w:rsid w:val="0070698F"/>
    <w:pPr>
      <w:tabs>
        <w:tab w:val="center" w:pos="4535"/>
        <w:tab w:val="right" w:pos="9071"/>
      </w:tabs>
    </w:pPr>
  </w:style>
  <w:style w:type="character" w:customStyle="1" w:styleId="PisMrk">
    <w:name w:val="Päis Märk"/>
    <w:basedOn w:val="Liguvaikefont"/>
    <w:link w:val="Pis"/>
    <w:uiPriority w:val="99"/>
    <w:rsid w:val="0070698F"/>
    <w:rPr>
      <w:rFonts w:ascii="Times New Roman" w:eastAsia="Times New Roman" w:hAnsi="Times New Roman" w:cs="Times New Roman"/>
      <w:sz w:val="20"/>
      <w:szCs w:val="24"/>
      <w:lang w:val="en-GB"/>
    </w:rPr>
  </w:style>
  <w:style w:type="paragraph" w:styleId="Jalus">
    <w:name w:val="footer"/>
    <w:basedOn w:val="SLONormalSmall"/>
    <w:link w:val="JalusMrk"/>
    <w:uiPriority w:val="99"/>
    <w:rsid w:val="005D6D01"/>
    <w:pPr>
      <w:tabs>
        <w:tab w:val="center" w:pos="4535"/>
        <w:tab w:val="right" w:pos="9071"/>
      </w:tabs>
    </w:pPr>
  </w:style>
  <w:style w:type="character" w:customStyle="1" w:styleId="JalusMrk">
    <w:name w:val="Jalus Märk"/>
    <w:basedOn w:val="Liguvaikefont"/>
    <w:link w:val="Jalus"/>
    <w:uiPriority w:val="99"/>
    <w:rsid w:val="005D6D01"/>
    <w:rPr>
      <w:rFonts w:ascii="Times New Roman" w:eastAsia="Times New Roman" w:hAnsi="Times New Roman" w:cs="Times New Roman"/>
      <w:sz w:val="20"/>
      <w:szCs w:val="24"/>
      <w:lang w:val="en-GB"/>
    </w:rPr>
  </w:style>
  <w:style w:type="paragraph" w:customStyle="1" w:styleId="SLONormalnospace">
    <w:name w:val="SLO Normal (no space)"/>
    <w:basedOn w:val="SLONormal"/>
    <w:rsid w:val="0070698F"/>
    <w:pPr>
      <w:spacing w:before="0" w:after="0"/>
    </w:pPr>
  </w:style>
  <w:style w:type="paragraph" w:customStyle="1" w:styleId="SLONormalSmall">
    <w:name w:val="SLO Normal (Small)"/>
    <w:basedOn w:val="SLONormal"/>
    <w:rsid w:val="0070698F"/>
    <w:pPr>
      <w:spacing w:before="60" w:after="60"/>
    </w:pPr>
    <w:rPr>
      <w:sz w:val="20"/>
    </w:rPr>
  </w:style>
  <w:style w:type="paragraph" w:customStyle="1" w:styleId="SLONormalWhite">
    <w:name w:val="SLO Normal White"/>
    <w:basedOn w:val="SLONormal"/>
    <w:rsid w:val="0070698F"/>
    <w:rPr>
      <w:color w:val="FFFFFF"/>
    </w:rPr>
  </w:style>
  <w:style w:type="character" w:customStyle="1" w:styleId="SC">
    <w:name w:val="SC"/>
    <w:basedOn w:val="Liguvaikefont"/>
    <w:rsid w:val="0070698F"/>
    <w:rPr>
      <w:u w:val="single"/>
    </w:rPr>
  </w:style>
  <w:style w:type="paragraph" w:customStyle="1" w:styleId="SORAINENComment">
    <w:name w:val="SORAINEN Comment"/>
    <w:basedOn w:val="SLONormal"/>
    <w:rsid w:val="0070698F"/>
    <w:pPr>
      <w:pBdr>
        <w:top w:val="single" w:sz="4" w:space="1" w:color="auto"/>
        <w:left w:val="single" w:sz="4" w:space="4" w:color="auto"/>
        <w:bottom w:val="single" w:sz="4" w:space="1" w:color="auto"/>
        <w:right w:val="single" w:sz="4" w:space="4" w:color="auto"/>
      </w:pBdr>
      <w:shd w:val="clear" w:color="auto" w:fill="F3F3F3"/>
    </w:pPr>
    <w:rPr>
      <w:sz w:val="20"/>
    </w:rPr>
  </w:style>
  <w:style w:type="paragraph" w:customStyle="1" w:styleId="HeadingofAppendix">
    <w:name w:val="Heading of Appendix"/>
    <w:next w:val="SLONormal"/>
    <w:rsid w:val="0070698F"/>
    <w:pPr>
      <w:keepNext/>
      <w:pageBreakBefore/>
      <w:numPr>
        <w:numId w:val="7"/>
      </w:numPr>
      <w:spacing w:before="360" w:after="360" w:line="240" w:lineRule="auto"/>
      <w:outlineLvl w:val="0"/>
    </w:pPr>
    <w:rPr>
      <w:rFonts w:ascii="Times New Roman" w:eastAsia="Times New Roman" w:hAnsi="Times New Roman" w:cs="Times New Roman"/>
      <w:b/>
      <w:sz w:val="24"/>
      <w:szCs w:val="24"/>
      <w:lang w:val="en-GB"/>
    </w:rPr>
  </w:style>
  <w:style w:type="paragraph" w:customStyle="1" w:styleId="TextofAppendixlevel1">
    <w:name w:val="Text of Appendix level 1"/>
    <w:basedOn w:val="HeadingofAppendix"/>
    <w:rsid w:val="0070698F"/>
    <w:pPr>
      <w:keepNext w:val="0"/>
      <w:pageBreakBefore w:val="0"/>
      <w:numPr>
        <w:ilvl w:val="1"/>
      </w:numPr>
      <w:spacing w:before="120" w:after="120"/>
      <w:jc w:val="both"/>
      <w:outlineLvl w:val="1"/>
    </w:pPr>
    <w:rPr>
      <w:b w:val="0"/>
    </w:rPr>
  </w:style>
  <w:style w:type="paragraph" w:customStyle="1" w:styleId="TextofAppendixlevel2">
    <w:name w:val="Text of Appendix level 2"/>
    <w:basedOn w:val="TextofAppendixlevel1"/>
    <w:rsid w:val="0070698F"/>
    <w:pPr>
      <w:numPr>
        <w:ilvl w:val="2"/>
      </w:numPr>
      <w:outlineLvl w:val="2"/>
    </w:pPr>
  </w:style>
  <w:style w:type="paragraph" w:customStyle="1" w:styleId="TextofAppendixlevel3">
    <w:name w:val="Text of Appendix level 3"/>
    <w:basedOn w:val="TextofAppendixlevel2"/>
    <w:rsid w:val="0070698F"/>
    <w:pPr>
      <w:numPr>
        <w:ilvl w:val="3"/>
      </w:numPr>
      <w:outlineLvl w:val="3"/>
    </w:pPr>
  </w:style>
  <w:style w:type="paragraph" w:customStyle="1" w:styleId="TextofAppendixlevel4">
    <w:name w:val="Text of Appendix level 4"/>
    <w:basedOn w:val="TextofAppendixlevel3"/>
    <w:rsid w:val="0070698F"/>
    <w:pPr>
      <w:numPr>
        <w:ilvl w:val="4"/>
      </w:numPr>
      <w:outlineLvl w:val="4"/>
    </w:pPr>
  </w:style>
  <w:style w:type="numbering" w:customStyle="1" w:styleId="SLONumberings">
    <w:name w:val="SLO_Numberings"/>
    <w:uiPriority w:val="99"/>
    <w:rsid w:val="0070698F"/>
    <w:pPr>
      <w:numPr>
        <w:numId w:val="2"/>
      </w:numPr>
    </w:pPr>
  </w:style>
  <w:style w:type="paragraph" w:customStyle="1" w:styleId="Agreement1stlevelheadingnonumber">
    <w:name w:val="Agreement 1st level (heading) no number"/>
    <w:basedOn w:val="1stlevelheading"/>
    <w:next w:val="SLONormal"/>
    <w:rsid w:val="0070698F"/>
    <w:pPr>
      <w:numPr>
        <w:numId w:val="0"/>
      </w:numPr>
      <w:outlineLvl w:val="9"/>
    </w:pPr>
    <w:rPr>
      <w:kern w:val="22"/>
    </w:rPr>
  </w:style>
  <w:style w:type="paragraph" w:customStyle="1" w:styleId="AgreementPartiesandRecitals">
    <w:name w:val="Agreement Parties and Recitals"/>
    <w:basedOn w:val="1stlevelheading"/>
    <w:rsid w:val="0070698F"/>
    <w:pPr>
      <w:keepNext w:val="0"/>
      <w:numPr>
        <w:numId w:val="0"/>
      </w:numPr>
      <w:outlineLvl w:val="9"/>
    </w:pPr>
    <w:rPr>
      <w:kern w:val="22"/>
    </w:rPr>
  </w:style>
  <w:style w:type="paragraph" w:customStyle="1" w:styleId="SLOlistofparties">
    <w:name w:val="SLO list of parties"/>
    <w:rsid w:val="0070698F"/>
    <w:pPr>
      <w:numPr>
        <w:numId w:val="4"/>
      </w:numPr>
      <w:spacing w:before="120" w:after="120" w:line="240" w:lineRule="auto"/>
      <w:jc w:val="both"/>
    </w:pPr>
    <w:rPr>
      <w:rFonts w:ascii="Times New Roman" w:eastAsia="Times New Roman" w:hAnsi="Times New Roman" w:cs="Times New Roman"/>
      <w:sz w:val="24"/>
      <w:szCs w:val="24"/>
      <w:lang w:val="en-GB"/>
    </w:rPr>
  </w:style>
  <w:style w:type="paragraph" w:customStyle="1" w:styleId="SLOlistofrecitals">
    <w:name w:val="SLO list of recitals"/>
    <w:basedOn w:val="Normaallaad"/>
    <w:rsid w:val="0070698F"/>
    <w:pPr>
      <w:numPr>
        <w:ilvl w:val="1"/>
        <w:numId w:val="4"/>
      </w:numPr>
      <w:spacing w:before="120" w:after="120" w:line="240" w:lineRule="auto"/>
    </w:pPr>
    <w:rPr>
      <w:rFonts w:ascii="Times New Roman" w:eastAsia="Times New Roman" w:hAnsi="Times New Roman" w:cs="Times New Roman"/>
      <w:sz w:val="24"/>
      <w:szCs w:val="24"/>
      <w:lang w:val="en-GB"/>
    </w:rPr>
  </w:style>
  <w:style w:type="paragraph" w:customStyle="1" w:styleId="4thlevelheadingnoindent">
    <w:name w:val="4th level (heading) no indent"/>
    <w:basedOn w:val="4thlevelheading"/>
    <w:next w:val="SLONormal"/>
    <w:uiPriority w:val="6"/>
    <w:rsid w:val="0070698F"/>
    <w:pPr>
      <w:numPr>
        <w:ilvl w:val="0"/>
        <w:numId w:val="0"/>
      </w:numPr>
      <w:tabs>
        <w:tab w:val="num" w:pos="1928"/>
      </w:tabs>
      <w:ind w:left="851" w:hanging="851"/>
    </w:pPr>
  </w:style>
  <w:style w:type="paragraph" w:customStyle="1" w:styleId="SLONormalCentered">
    <w:name w:val="SLO Normal (Centered)"/>
    <w:basedOn w:val="SLONormal"/>
    <w:uiPriority w:val="6"/>
    <w:rsid w:val="0070698F"/>
    <w:pPr>
      <w:jc w:val="center"/>
    </w:pPr>
  </w:style>
  <w:style w:type="paragraph" w:customStyle="1" w:styleId="SLONormalLeft">
    <w:name w:val="SLO Normal (Left)"/>
    <w:basedOn w:val="SLONormal"/>
    <w:uiPriority w:val="6"/>
    <w:rsid w:val="0070698F"/>
    <w:pPr>
      <w:jc w:val="left"/>
    </w:pPr>
  </w:style>
  <w:style w:type="paragraph" w:customStyle="1" w:styleId="SLONormalRight">
    <w:name w:val="SLO Normal (Right)"/>
    <w:basedOn w:val="SLONormal"/>
    <w:uiPriority w:val="6"/>
    <w:rsid w:val="0070698F"/>
    <w:pPr>
      <w:jc w:val="right"/>
    </w:pPr>
  </w:style>
  <w:style w:type="paragraph" w:customStyle="1" w:styleId="4thlevellistnoindent">
    <w:name w:val="4th level (list) no indent"/>
    <w:basedOn w:val="4thlevelheading"/>
    <w:uiPriority w:val="6"/>
    <w:rsid w:val="0070698F"/>
    <w:pPr>
      <w:keepNext w:val="0"/>
      <w:numPr>
        <w:ilvl w:val="0"/>
        <w:numId w:val="0"/>
      </w:numPr>
      <w:tabs>
        <w:tab w:val="num" w:pos="1928"/>
      </w:tabs>
      <w:spacing w:before="120"/>
      <w:ind w:left="851" w:hanging="851"/>
    </w:pPr>
    <w:rPr>
      <w:i w:val="0"/>
    </w:rPr>
  </w:style>
  <w:style w:type="paragraph" w:customStyle="1" w:styleId="5thlevelheadingnoindent">
    <w:name w:val="5th level (heading) no indent"/>
    <w:basedOn w:val="5thlevelheading"/>
    <w:next w:val="SLONormal"/>
    <w:uiPriority w:val="6"/>
    <w:rsid w:val="0070698F"/>
    <w:pPr>
      <w:numPr>
        <w:ilvl w:val="0"/>
        <w:numId w:val="0"/>
      </w:numPr>
      <w:tabs>
        <w:tab w:val="num" w:pos="2835"/>
      </w:tabs>
      <w:ind w:left="851" w:hanging="851"/>
    </w:pPr>
  </w:style>
  <w:style w:type="paragraph" w:customStyle="1" w:styleId="5thlevelnoindent">
    <w:name w:val="5th level no indent"/>
    <w:basedOn w:val="5thlevelheading"/>
    <w:uiPriority w:val="6"/>
    <w:rsid w:val="0070698F"/>
    <w:pPr>
      <w:keepNext w:val="0"/>
      <w:numPr>
        <w:ilvl w:val="0"/>
        <w:numId w:val="0"/>
      </w:numPr>
      <w:tabs>
        <w:tab w:val="num" w:pos="2835"/>
      </w:tabs>
      <w:spacing w:before="120"/>
      <w:ind w:left="851" w:hanging="851"/>
    </w:pPr>
    <w:rPr>
      <w:u w:val="none"/>
    </w:rPr>
  </w:style>
  <w:style w:type="paragraph" w:customStyle="1" w:styleId="SLONormalLarge">
    <w:name w:val="SLO Normal (Large)"/>
    <w:basedOn w:val="SLONormal"/>
    <w:rsid w:val="0070698F"/>
  </w:style>
  <w:style w:type="paragraph" w:customStyle="1" w:styleId="LDDCommenttext">
    <w:name w:val="LDD Comment text"/>
    <w:rsid w:val="0070698F"/>
    <w:pPr>
      <w:spacing w:before="120" w:after="0" w:line="240" w:lineRule="auto"/>
      <w:jc w:val="both"/>
    </w:pPr>
    <w:rPr>
      <w:rFonts w:ascii="Times New Roman" w:eastAsia="Times New Roman" w:hAnsi="Times New Roman" w:cs="Times New Roman"/>
      <w:i/>
      <w:kern w:val="24"/>
      <w:sz w:val="18"/>
      <w:szCs w:val="24"/>
      <w:lang w:val="en-GB"/>
    </w:rPr>
  </w:style>
  <w:style w:type="paragraph" w:customStyle="1" w:styleId="LDDComment1">
    <w:name w:val="LDD Comment 1"/>
    <w:basedOn w:val="LDDCommenttext"/>
    <w:next w:val="LDDCommenttext"/>
    <w:rsid w:val="0070698F"/>
    <w:pPr>
      <w:keepNext/>
      <w:pBdr>
        <w:top w:val="single" w:sz="24" w:space="1" w:color="333399"/>
      </w:pBdr>
      <w:tabs>
        <w:tab w:val="num" w:pos="283"/>
      </w:tabs>
      <w:ind w:left="283" w:hanging="283"/>
    </w:pPr>
    <w:rPr>
      <w:b/>
    </w:rPr>
  </w:style>
  <w:style w:type="paragraph" w:customStyle="1" w:styleId="LDDComment2">
    <w:name w:val="LDD Comment 2"/>
    <w:basedOn w:val="LDDComment1"/>
    <w:next w:val="LDDCommenttext"/>
    <w:rsid w:val="0070698F"/>
  </w:style>
  <w:style w:type="paragraph" w:customStyle="1" w:styleId="LDDComment3">
    <w:name w:val="LDD Comment 3"/>
    <w:basedOn w:val="LDDComment2"/>
    <w:next w:val="LDDCommenttext"/>
    <w:rsid w:val="0070698F"/>
  </w:style>
  <w:style w:type="paragraph" w:customStyle="1" w:styleId="LDDComment4">
    <w:name w:val="LDD Comment 4"/>
    <w:basedOn w:val="LDDComment1"/>
    <w:next w:val="LDDCommenttext"/>
    <w:rsid w:val="0070698F"/>
  </w:style>
  <w:style w:type="paragraph" w:customStyle="1" w:styleId="SLOExhibitListENG">
    <w:name w:val="SLO_Exhibit_List_ENG"/>
    <w:basedOn w:val="SLONormal"/>
    <w:uiPriority w:val="6"/>
    <w:rsid w:val="0070698F"/>
    <w:pPr>
      <w:numPr>
        <w:numId w:val="8"/>
      </w:numPr>
      <w:jc w:val="left"/>
    </w:pPr>
    <w:rPr>
      <w:kern w:val="24"/>
      <w:sz w:val="22"/>
    </w:rPr>
  </w:style>
  <w:style w:type="paragraph" w:styleId="Allmrkusetekst">
    <w:name w:val="footnote text"/>
    <w:basedOn w:val="SLONormal"/>
    <w:link w:val="AllmrkusetekstMrk"/>
    <w:uiPriority w:val="99"/>
    <w:unhideWhenUsed/>
    <w:qFormat/>
    <w:rsid w:val="007A7737"/>
    <w:pPr>
      <w:spacing w:before="0" w:after="0"/>
      <w:ind w:left="142" w:hanging="142"/>
    </w:pPr>
    <w:rPr>
      <w:sz w:val="20"/>
      <w:szCs w:val="20"/>
      <w:lang w:val="et-EE"/>
    </w:rPr>
  </w:style>
  <w:style w:type="character" w:customStyle="1" w:styleId="AllmrkusetekstMrk">
    <w:name w:val="Allmärkuse tekst Märk"/>
    <w:basedOn w:val="Liguvaikefont"/>
    <w:link w:val="Allmrkusetekst"/>
    <w:uiPriority w:val="99"/>
    <w:rsid w:val="007A7737"/>
    <w:rPr>
      <w:rFonts w:ascii="Times New Roman" w:eastAsia="Times New Roman" w:hAnsi="Times New Roman" w:cs="Times New Roman"/>
      <w:sz w:val="20"/>
      <w:szCs w:val="20"/>
    </w:rPr>
  </w:style>
  <w:style w:type="paragraph" w:customStyle="1" w:styleId="ENG-1stlevelheading">
    <w:name w:val="ENG - 1st level (heading)"/>
    <w:basedOn w:val="SLONormal"/>
    <w:next w:val="Normaallaad"/>
    <w:uiPriority w:val="3"/>
    <w:qFormat/>
    <w:rsid w:val="001A0299"/>
    <w:pPr>
      <w:keepNext/>
      <w:numPr>
        <w:numId w:val="16"/>
      </w:numPr>
      <w:spacing w:before="360" w:after="240"/>
    </w:pPr>
    <w:rPr>
      <w:rFonts w:eastAsiaTheme="minorHAnsi" w:cstheme="minorBidi"/>
      <w:b/>
      <w:caps/>
      <w:szCs w:val="22"/>
    </w:rPr>
  </w:style>
  <w:style w:type="paragraph" w:customStyle="1" w:styleId="ENG-2ndlevelheading">
    <w:name w:val="ENG - 2nd level (heading)"/>
    <w:basedOn w:val="SLONormal"/>
    <w:uiPriority w:val="4"/>
    <w:qFormat/>
    <w:rsid w:val="001A0299"/>
    <w:pPr>
      <w:keepNext/>
      <w:numPr>
        <w:ilvl w:val="1"/>
        <w:numId w:val="16"/>
      </w:numPr>
      <w:spacing w:before="0" w:after="240"/>
    </w:pPr>
    <w:rPr>
      <w:rFonts w:eastAsiaTheme="minorHAnsi" w:cstheme="minorBidi"/>
      <w:b/>
      <w:szCs w:val="22"/>
    </w:rPr>
  </w:style>
  <w:style w:type="paragraph" w:customStyle="1" w:styleId="ENG-2ndlevelprovision">
    <w:name w:val="ENG - 2nd level (provision)"/>
    <w:basedOn w:val="ENG-2ndlevelheading"/>
    <w:uiPriority w:val="4"/>
    <w:qFormat/>
    <w:rsid w:val="001A0299"/>
    <w:rPr>
      <w:b w:val="0"/>
    </w:rPr>
  </w:style>
  <w:style w:type="paragraph" w:customStyle="1" w:styleId="ENG-3rdlevelsubprovision">
    <w:name w:val="ENG - 3rd level (subprovision)"/>
    <w:basedOn w:val="SLONormal"/>
    <w:uiPriority w:val="4"/>
    <w:qFormat/>
    <w:rsid w:val="001A0299"/>
    <w:pPr>
      <w:numPr>
        <w:ilvl w:val="2"/>
        <w:numId w:val="16"/>
      </w:numPr>
      <w:spacing w:before="0" w:after="240"/>
    </w:pPr>
    <w:rPr>
      <w:rFonts w:eastAsiaTheme="minorHAnsi" w:cstheme="minorBidi"/>
      <w:szCs w:val="22"/>
    </w:rPr>
  </w:style>
  <w:style w:type="paragraph" w:customStyle="1" w:styleId="ENG-4thlevellist">
    <w:name w:val="ENG - 4th level (list)"/>
    <w:basedOn w:val="SLONormal"/>
    <w:uiPriority w:val="4"/>
    <w:qFormat/>
    <w:rsid w:val="001A0299"/>
    <w:pPr>
      <w:numPr>
        <w:ilvl w:val="4"/>
        <w:numId w:val="16"/>
      </w:numPr>
      <w:spacing w:before="0" w:after="240"/>
    </w:pPr>
    <w:rPr>
      <w:rFonts w:eastAsiaTheme="minorHAnsi" w:cstheme="minorBidi"/>
      <w:szCs w:val="22"/>
    </w:rPr>
  </w:style>
  <w:style w:type="paragraph" w:customStyle="1" w:styleId="ENG-5thlevel">
    <w:name w:val="ENG - 5th level"/>
    <w:basedOn w:val="SLONormal"/>
    <w:uiPriority w:val="4"/>
    <w:qFormat/>
    <w:rsid w:val="001A0299"/>
    <w:pPr>
      <w:numPr>
        <w:ilvl w:val="5"/>
        <w:numId w:val="16"/>
      </w:numPr>
      <w:spacing w:before="0" w:after="240"/>
    </w:pPr>
    <w:rPr>
      <w:rFonts w:eastAsiaTheme="minorHAnsi" w:cstheme="minorBidi"/>
      <w:szCs w:val="22"/>
    </w:rPr>
  </w:style>
  <w:style w:type="paragraph" w:customStyle="1" w:styleId="ENG-AppendixList">
    <w:name w:val="ENG - Appendix List"/>
    <w:basedOn w:val="SLONormal"/>
    <w:uiPriority w:val="4"/>
    <w:qFormat/>
    <w:rsid w:val="001A0299"/>
    <w:pPr>
      <w:numPr>
        <w:ilvl w:val="3"/>
        <w:numId w:val="17"/>
      </w:numPr>
      <w:spacing w:before="0" w:after="240"/>
    </w:pPr>
    <w:rPr>
      <w:rFonts w:eastAsiaTheme="minorHAnsi" w:cstheme="minorBidi"/>
      <w:szCs w:val="22"/>
    </w:rPr>
  </w:style>
  <w:style w:type="paragraph" w:customStyle="1" w:styleId="ENG-Listwith1">
    <w:name w:val="ENG - List with 1"/>
    <w:basedOn w:val="SLONormal"/>
    <w:uiPriority w:val="3"/>
    <w:qFormat/>
    <w:rsid w:val="001A0299"/>
    <w:pPr>
      <w:numPr>
        <w:ilvl w:val="3"/>
        <w:numId w:val="16"/>
      </w:numPr>
      <w:spacing w:before="0" w:after="240"/>
    </w:pPr>
    <w:rPr>
      <w:rFonts w:eastAsiaTheme="minorHAnsi" w:cstheme="minorBidi"/>
      <w:szCs w:val="22"/>
    </w:rPr>
  </w:style>
  <w:style w:type="paragraph" w:customStyle="1" w:styleId="ENG-SLONumberedList">
    <w:name w:val="ENG - SLO Numbered List"/>
    <w:basedOn w:val="SLONormal"/>
    <w:uiPriority w:val="4"/>
    <w:qFormat/>
    <w:rsid w:val="001A0299"/>
    <w:pPr>
      <w:numPr>
        <w:ilvl w:val="2"/>
        <w:numId w:val="17"/>
      </w:numPr>
      <w:spacing w:before="0" w:after="240"/>
    </w:pPr>
    <w:rPr>
      <w:rFonts w:eastAsiaTheme="minorHAnsi" w:cstheme="minorBidi"/>
      <w:szCs w:val="22"/>
    </w:rPr>
  </w:style>
  <w:style w:type="paragraph" w:styleId="Loendilik">
    <w:name w:val="List Paragraph"/>
    <w:basedOn w:val="Normaallaad"/>
    <w:uiPriority w:val="34"/>
    <w:qFormat/>
    <w:rsid w:val="000A03EF"/>
    <w:pPr>
      <w:ind w:left="720"/>
      <w:contextualSpacing/>
    </w:pPr>
  </w:style>
  <w:style w:type="paragraph" w:customStyle="1" w:styleId="muudetavtekst">
    <w:name w:val="muudetav tekst"/>
    <w:basedOn w:val="Normaallaad"/>
    <w:qFormat/>
    <w:rsid w:val="000A03EF"/>
    <w:pPr>
      <w:suppressAutoHyphens/>
      <w:autoSpaceDN w:val="0"/>
      <w:adjustRightInd w:val="0"/>
      <w:spacing w:after="0" w:line="240" w:lineRule="auto"/>
      <w:jc w:val="both"/>
    </w:pPr>
    <w:rPr>
      <w:rFonts w:ascii="Times New Roman" w:eastAsia="Times New Roman" w:hAnsi="Times New Roman" w:cs="Times New Roman"/>
      <w:sz w:val="24"/>
      <w:szCs w:val="24"/>
      <w:lang w:eastAsia="et-EE"/>
    </w:rPr>
  </w:style>
  <w:style w:type="paragraph" w:styleId="Vahedeta">
    <w:name w:val="No Spacing"/>
    <w:uiPriority w:val="1"/>
    <w:qFormat/>
    <w:rsid w:val="000A03EF"/>
    <w:pPr>
      <w:spacing w:after="0" w:line="240" w:lineRule="auto"/>
    </w:pPr>
  </w:style>
  <w:style w:type="character" w:customStyle="1" w:styleId="tyhik">
    <w:name w:val="tyhik"/>
    <w:basedOn w:val="Liguvaikefont"/>
    <w:rsid w:val="00DE73C7"/>
  </w:style>
  <w:style w:type="character" w:styleId="Allmrkuseviide">
    <w:name w:val="footnote reference"/>
    <w:basedOn w:val="Liguvaikefont"/>
    <w:uiPriority w:val="99"/>
    <w:semiHidden/>
    <w:unhideWhenUsed/>
    <w:rsid w:val="001E08C0"/>
    <w:rPr>
      <w:vertAlign w:val="superscript"/>
    </w:rPr>
  </w:style>
  <w:style w:type="character" w:styleId="Kommentaariviide">
    <w:name w:val="annotation reference"/>
    <w:basedOn w:val="Liguvaikefont"/>
    <w:uiPriority w:val="99"/>
    <w:semiHidden/>
    <w:unhideWhenUsed/>
    <w:rsid w:val="007B4CCC"/>
    <w:rPr>
      <w:sz w:val="16"/>
      <w:szCs w:val="16"/>
    </w:rPr>
  </w:style>
  <w:style w:type="paragraph" w:styleId="Kommentaaritekst">
    <w:name w:val="annotation text"/>
    <w:basedOn w:val="Normaallaad"/>
    <w:link w:val="KommentaaritekstMrk"/>
    <w:uiPriority w:val="99"/>
    <w:unhideWhenUsed/>
    <w:rsid w:val="007B4CCC"/>
    <w:pPr>
      <w:spacing w:line="240" w:lineRule="auto"/>
    </w:pPr>
    <w:rPr>
      <w:sz w:val="20"/>
      <w:szCs w:val="20"/>
    </w:rPr>
  </w:style>
  <w:style w:type="character" w:customStyle="1" w:styleId="KommentaaritekstMrk">
    <w:name w:val="Kommentaari tekst Märk"/>
    <w:basedOn w:val="Liguvaikefont"/>
    <w:link w:val="Kommentaaritekst"/>
    <w:uiPriority w:val="99"/>
    <w:rsid w:val="007B4CCC"/>
    <w:rPr>
      <w:sz w:val="20"/>
      <w:szCs w:val="20"/>
    </w:rPr>
  </w:style>
  <w:style w:type="paragraph" w:styleId="Kommentaariteema">
    <w:name w:val="annotation subject"/>
    <w:basedOn w:val="Kommentaaritekst"/>
    <w:next w:val="Kommentaaritekst"/>
    <w:link w:val="KommentaariteemaMrk"/>
    <w:uiPriority w:val="99"/>
    <w:semiHidden/>
    <w:unhideWhenUsed/>
    <w:rsid w:val="00B209AD"/>
    <w:rPr>
      <w:b/>
      <w:bCs/>
    </w:rPr>
  </w:style>
  <w:style w:type="character" w:customStyle="1" w:styleId="KommentaariteemaMrk">
    <w:name w:val="Kommentaari teema Märk"/>
    <w:basedOn w:val="KommentaaritekstMrk"/>
    <w:link w:val="Kommentaariteema"/>
    <w:uiPriority w:val="99"/>
    <w:semiHidden/>
    <w:rsid w:val="00B209AD"/>
    <w:rPr>
      <w:b/>
      <w:bCs/>
      <w:sz w:val="20"/>
      <w:szCs w:val="20"/>
    </w:rPr>
  </w:style>
  <w:style w:type="paragraph" w:styleId="Redaktsioon">
    <w:name w:val="Revision"/>
    <w:hidden/>
    <w:uiPriority w:val="99"/>
    <w:semiHidden/>
    <w:rsid w:val="00D67EA9"/>
    <w:pPr>
      <w:spacing w:after="0" w:line="240" w:lineRule="auto"/>
    </w:pPr>
  </w:style>
  <w:style w:type="character" w:styleId="Hperlink">
    <w:name w:val="Hyperlink"/>
    <w:basedOn w:val="Liguvaikefont"/>
    <w:uiPriority w:val="99"/>
    <w:unhideWhenUsed/>
    <w:rsid w:val="00D04B03"/>
    <w:rPr>
      <w:color w:val="0563C1" w:themeColor="hyperlink"/>
      <w:u w:val="single"/>
    </w:rPr>
  </w:style>
  <w:style w:type="character" w:styleId="Lahendamatamainimine">
    <w:name w:val="Unresolved Mention"/>
    <w:basedOn w:val="Liguvaikefont"/>
    <w:uiPriority w:val="99"/>
    <w:semiHidden/>
    <w:unhideWhenUsed/>
    <w:rsid w:val="00D04B03"/>
    <w:rPr>
      <w:color w:val="605E5C"/>
      <w:shd w:val="clear" w:color="auto" w:fill="E1DFDD"/>
    </w:rPr>
  </w:style>
  <w:style w:type="paragraph" w:customStyle="1" w:styleId="pf0">
    <w:name w:val="pf0"/>
    <w:basedOn w:val="Normaallaad"/>
    <w:rsid w:val="006E0724"/>
    <w:pPr>
      <w:spacing w:before="100" w:beforeAutospacing="1" w:after="100" w:afterAutospacing="1" w:line="240" w:lineRule="auto"/>
    </w:pPr>
    <w:rPr>
      <w:rFonts w:ascii="Times New Roman" w:hAnsi="Times New Roman" w:cs="Times New Roman"/>
      <w:sz w:val="24"/>
      <w:szCs w:val="24"/>
      <w:lang w:eastAsia="et-EE"/>
    </w:rPr>
  </w:style>
  <w:style w:type="character" w:styleId="Mainimine">
    <w:name w:val="Mention"/>
    <w:basedOn w:val="Liguvaikefont"/>
    <w:uiPriority w:val="99"/>
    <w:unhideWhenUsed/>
    <w:rsid w:val="0089084C"/>
    <w:rPr>
      <w:color w:val="2B579A"/>
      <w:shd w:val="clear" w:color="auto" w:fill="E1DFDD"/>
    </w:rPr>
  </w:style>
  <w:style w:type="character" w:customStyle="1" w:styleId="Pealkiri3Mrk">
    <w:name w:val="Pealkiri 3 Märk"/>
    <w:basedOn w:val="Liguvaikefont"/>
    <w:link w:val="Pealkiri3"/>
    <w:uiPriority w:val="9"/>
    <w:semiHidden/>
    <w:rsid w:val="00EA0CDA"/>
    <w:rPr>
      <w:rFonts w:asciiTheme="majorHAnsi" w:eastAsiaTheme="majorEastAsia" w:hAnsiTheme="majorHAnsi" w:cstheme="majorBidi"/>
      <w:color w:val="1F3763" w:themeColor="accent1" w:themeShade="7F"/>
      <w:sz w:val="24"/>
      <w:szCs w:val="24"/>
    </w:rPr>
  </w:style>
  <w:style w:type="character" w:customStyle="1" w:styleId="Pealkiri4Mrk">
    <w:name w:val="Pealkiri 4 Märk"/>
    <w:basedOn w:val="Liguvaikefont"/>
    <w:link w:val="Pealkiri4"/>
    <w:uiPriority w:val="9"/>
    <w:semiHidden/>
    <w:rsid w:val="002E0553"/>
    <w:rPr>
      <w:rFonts w:asciiTheme="majorHAnsi" w:eastAsiaTheme="majorEastAsia" w:hAnsiTheme="majorHAnsi" w:cstheme="majorBidi"/>
      <w:i/>
      <w:iCs/>
      <w:color w:val="2F5496" w:themeColor="accent1" w:themeShade="BF"/>
    </w:rPr>
  </w:style>
  <w:style w:type="paragraph" w:styleId="Pealdis">
    <w:name w:val="caption"/>
    <w:basedOn w:val="Normaallaad"/>
    <w:next w:val="Normaallaad"/>
    <w:uiPriority w:val="35"/>
    <w:unhideWhenUsed/>
    <w:qFormat/>
    <w:rsid w:val="00911E7C"/>
    <w:pPr>
      <w:spacing w:after="200" w:line="240" w:lineRule="auto"/>
    </w:pPr>
    <w:rPr>
      <w:i/>
      <w:iCs/>
      <w:color w:val="44546A" w:themeColor="text2"/>
      <w:kern w:val="2"/>
      <w:sz w:val="18"/>
      <w:szCs w:val="18"/>
      <w14:ligatures w14:val="standardContextual"/>
    </w:rPr>
  </w:style>
  <w:style w:type="character" w:customStyle="1" w:styleId="cf01">
    <w:name w:val="cf01"/>
    <w:basedOn w:val="Liguvaikefont"/>
    <w:rsid w:val="006A21D9"/>
    <w:rPr>
      <w:rFonts w:ascii="Segoe UI" w:hAnsi="Segoe UI" w:cs="Segoe UI" w:hint="default"/>
      <w:sz w:val="18"/>
      <w:szCs w:val="18"/>
    </w:rPr>
  </w:style>
  <w:style w:type="table" w:styleId="Kontuurtabel">
    <w:name w:val="Table Grid"/>
    <w:basedOn w:val="Normaaltabel"/>
    <w:uiPriority w:val="39"/>
    <w:rsid w:val="00B979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lastatudhperlink">
    <w:name w:val="FollowedHyperlink"/>
    <w:basedOn w:val="Liguvaikefont"/>
    <w:uiPriority w:val="99"/>
    <w:semiHidden/>
    <w:unhideWhenUsed/>
    <w:rsid w:val="0008490F"/>
    <w:rPr>
      <w:color w:val="954F72" w:themeColor="followedHyperlink"/>
      <w:u w:val="single"/>
    </w:rPr>
  </w:style>
  <w:style w:type="paragraph" w:styleId="Normaallaadveeb">
    <w:name w:val="Normal (Web)"/>
    <w:basedOn w:val="Normaallaad"/>
    <w:uiPriority w:val="99"/>
    <w:semiHidden/>
    <w:unhideWhenUsed/>
    <w:rsid w:val="009C0CD0"/>
    <w:pPr>
      <w:spacing w:before="100" w:beforeAutospacing="1" w:after="100" w:afterAutospacing="1" w:line="240" w:lineRule="auto"/>
    </w:pPr>
    <w:rPr>
      <w:rFonts w:ascii="Times New Roman" w:eastAsia="Times New Roman" w:hAnsi="Times New Roman" w:cs="Times New Roman"/>
      <w:sz w:val="24"/>
      <w:szCs w:val="24"/>
      <w:lang w:eastAsia="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61488">
      <w:bodyDiv w:val="1"/>
      <w:marLeft w:val="0"/>
      <w:marRight w:val="0"/>
      <w:marTop w:val="0"/>
      <w:marBottom w:val="0"/>
      <w:divBdr>
        <w:top w:val="none" w:sz="0" w:space="0" w:color="auto"/>
        <w:left w:val="none" w:sz="0" w:space="0" w:color="auto"/>
        <w:bottom w:val="none" w:sz="0" w:space="0" w:color="auto"/>
        <w:right w:val="none" w:sz="0" w:space="0" w:color="auto"/>
      </w:divBdr>
    </w:div>
    <w:div w:id="65802510">
      <w:bodyDiv w:val="1"/>
      <w:marLeft w:val="0"/>
      <w:marRight w:val="0"/>
      <w:marTop w:val="0"/>
      <w:marBottom w:val="0"/>
      <w:divBdr>
        <w:top w:val="none" w:sz="0" w:space="0" w:color="auto"/>
        <w:left w:val="none" w:sz="0" w:space="0" w:color="auto"/>
        <w:bottom w:val="none" w:sz="0" w:space="0" w:color="auto"/>
        <w:right w:val="none" w:sz="0" w:space="0" w:color="auto"/>
      </w:divBdr>
    </w:div>
    <w:div w:id="100729961">
      <w:bodyDiv w:val="1"/>
      <w:marLeft w:val="0"/>
      <w:marRight w:val="0"/>
      <w:marTop w:val="0"/>
      <w:marBottom w:val="0"/>
      <w:divBdr>
        <w:top w:val="none" w:sz="0" w:space="0" w:color="auto"/>
        <w:left w:val="none" w:sz="0" w:space="0" w:color="auto"/>
        <w:bottom w:val="none" w:sz="0" w:space="0" w:color="auto"/>
        <w:right w:val="none" w:sz="0" w:space="0" w:color="auto"/>
      </w:divBdr>
    </w:div>
    <w:div w:id="270822107">
      <w:bodyDiv w:val="1"/>
      <w:marLeft w:val="0"/>
      <w:marRight w:val="0"/>
      <w:marTop w:val="0"/>
      <w:marBottom w:val="0"/>
      <w:divBdr>
        <w:top w:val="none" w:sz="0" w:space="0" w:color="auto"/>
        <w:left w:val="none" w:sz="0" w:space="0" w:color="auto"/>
        <w:bottom w:val="none" w:sz="0" w:space="0" w:color="auto"/>
        <w:right w:val="none" w:sz="0" w:space="0" w:color="auto"/>
      </w:divBdr>
    </w:div>
    <w:div w:id="310065198">
      <w:bodyDiv w:val="1"/>
      <w:marLeft w:val="0"/>
      <w:marRight w:val="0"/>
      <w:marTop w:val="0"/>
      <w:marBottom w:val="0"/>
      <w:divBdr>
        <w:top w:val="none" w:sz="0" w:space="0" w:color="auto"/>
        <w:left w:val="none" w:sz="0" w:space="0" w:color="auto"/>
        <w:bottom w:val="none" w:sz="0" w:space="0" w:color="auto"/>
        <w:right w:val="none" w:sz="0" w:space="0" w:color="auto"/>
      </w:divBdr>
      <w:divsChild>
        <w:div w:id="312175092">
          <w:marLeft w:val="0"/>
          <w:marRight w:val="0"/>
          <w:marTop w:val="0"/>
          <w:marBottom w:val="0"/>
          <w:divBdr>
            <w:top w:val="none" w:sz="0" w:space="0" w:color="auto"/>
            <w:left w:val="none" w:sz="0" w:space="0" w:color="auto"/>
            <w:bottom w:val="none" w:sz="0" w:space="0" w:color="auto"/>
            <w:right w:val="none" w:sz="0" w:space="0" w:color="auto"/>
          </w:divBdr>
          <w:divsChild>
            <w:div w:id="1745227380">
              <w:marLeft w:val="0"/>
              <w:marRight w:val="0"/>
              <w:marTop w:val="0"/>
              <w:marBottom w:val="0"/>
              <w:divBdr>
                <w:top w:val="none" w:sz="0" w:space="0" w:color="auto"/>
                <w:left w:val="none" w:sz="0" w:space="0" w:color="auto"/>
                <w:bottom w:val="none" w:sz="0" w:space="0" w:color="auto"/>
                <w:right w:val="none" w:sz="0" w:space="0" w:color="auto"/>
              </w:divBdr>
              <w:divsChild>
                <w:div w:id="363598935">
                  <w:marLeft w:val="0"/>
                  <w:marRight w:val="0"/>
                  <w:marTop w:val="0"/>
                  <w:marBottom w:val="0"/>
                  <w:divBdr>
                    <w:top w:val="none" w:sz="0" w:space="0" w:color="auto"/>
                    <w:left w:val="none" w:sz="0" w:space="0" w:color="auto"/>
                    <w:bottom w:val="none" w:sz="0" w:space="0" w:color="auto"/>
                    <w:right w:val="none" w:sz="0" w:space="0" w:color="auto"/>
                  </w:divBdr>
                  <w:divsChild>
                    <w:div w:id="1170175031">
                      <w:marLeft w:val="0"/>
                      <w:marRight w:val="0"/>
                      <w:marTop w:val="0"/>
                      <w:marBottom w:val="0"/>
                      <w:divBdr>
                        <w:top w:val="none" w:sz="0" w:space="0" w:color="auto"/>
                        <w:left w:val="none" w:sz="0" w:space="0" w:color="auto"/>
                        <w:bottom w:val="none" w:sz="0" w:space="0" w:color="auto"/>
                        <w:right w:val="none" w:sz="0" w:space="0" w:color="auto"/>
                      </w:divBdr>
                      <w:divsChild>
                        <w:div w:id="401149214">
                          <w:marLeft w:val="0"/>
                          <w:marRight w:val="0"/>
                          <w:marTop w:val="0"/>
                          <w:marBottom w:val="0"/>
                          <w:divBdr>
                            <w:top w:val="none" w:sz="0" w:space="0" w:color="auto"/>
                            <w:left w:val="none" w:sz="0" w:space="0" w:color="auto"/>
                            <w:bottom w:val="none" w:sz="0" w:space="0" w:color="auto"/>
                            <w:right w:val="none" w:sz="0" w:space="0" w:color="auto"/>
                          </w:divBdr>
                          <w:divsChild>
                            <w:div w:id="448088683">
                              <w:marLeft w:val="0"/>
                              <w:marRight w:val="0"/>
                              <w:marTop w:val="0"/>
                              <w:marBottom w:val="0"/>
                              <w:divBdr>
                                <w:top w:val="none" w:sz="0" w:space="0" w:color="auto"/>
                                <w:left w:val="none" w:sz="0" w:space="0" w:color="auto"/>
                                <w:bottom w:val="none" w:sz="0" w:space="0" w:color="auto"/>
                                <w:right w:val="none" w:sz="0" w:space="0" w:color="auto"/>
                              </w:divBdr>
                              <w:divsChild>
                                <w:div w:id="2069915265">
                                  <w:marLeft w:val="0"/>
                                  <w:marRight w:val="0"/>
                                  <w:marTop w:val="0"/>
                                  <w:marBottom w:val="0"/>
                                  <w:divBdr>
                                    <w:top w:val="none" w:sz="0" w:space="0" w:color="auto"/>
                                    <w:left w:val="none" w:sz="0" w:space="0" w:color="auto"/>
                                    <w:bottom w:val="none" w:sz="0" w:space="0" w:color="auto"/>
                                    <w:right w:val="none" w:sz="0" w:space="0" w:color="auto"/>
                                  </w:divBdr>
                                  <w:divsChild>
                                    <w:div w:id="370301141">
                                      <w:marLeft w:val="0"/>
                                      <w:marRight w:val="0"/>
                                      <w:marTop w:val="0"/>
                                      <w:marBottom w:val="0"/>
                                      <w:divBdr>
                                        <w:top w:val="none" w:sz="0" w:space="0" w:color="auto"/>
                                        <w:left w:val="none" w:sz="0" w:space="0" w:color="auto"/>
                                        <w:bottom w:val="none" w:sz="0" w:space="0" w:color="auto"/>
                                        <w:right w:val="none" w:sz="0" w:space="0" w:color="auto"/>
                                      </w:divBdr>
                                      <w:divsChild>
                                        <w:div w:id="1626155015">
                                          <w:marLeft w:val="0"/>
                                          <w:marRight w:val="0"/>
                                          <w:marTop w:val="0"/>
                                          <w:marBottom w:val="0"/>
                                          <w:divBdr>
                                            <w:top w:val="none" w:sz="0" w:space="0" w:color="auto"/>
                                            <w:left w:val="none" w:sz="0" w:space="0" w:color="auto"/>
                                            <w:bottom w:val="none" w:sz="0" w:space="0" w:color="auto"/>
                                            <w:right w:val="none" w:sz="0" w:space="0" w:color="auto"/>
                                          </w:divBdr>
                                          <w:divsChild>
                                            <w:div w:id="20926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806385">
          <w:marLeft w:val="0"/>
          <w:marRight w:val="0"/>
          <w:marTop w:val="0"/>
          <w:marBottom w:val="0"/>
          <w:divBdr>
            <w:top w:val="none" w:sz="0" w:space="0" w:color="auto"/>
            <w:left w:val="none" w:sz="0" w:space="0" w:color="auto"/>
            <w:bottom w:val="none" w:sz="0" w:space="0" w:color="auto"/>
            <w:right w:val="none" w:sz="0" w:space="0" w:color="auto"/>
          </w:divBdr>
          <w:divsChild>
            <w:div w:id="440027239">
              <w:marLeft w:val="0"/>
              <w:marRight w:val="0"/>
              <w:marTop w:val="0"/>
              <w:marBottom w:val="0"/>
              <w:divBdr>
                <w:top w:val="none" w:sz="0" w:space="0" w:color="auto"/>
                <w:left w:val="none" w:sz="0" w:space="0" w:color="auto"/>
                <w:bottom w:val="none" w:sz="0" w:space="0" w:color="auto"/>
                <w:right w:val="none" w:sz="0" w:space="0" w:color="auto"/>
              </w:divBdr>
              <w:divsChild>
                <w:div w:id="230698141">
                  <w:marLeft w:val="0"/>
                  <w:marRight w:val="0"/>
                  <w:marTop w:val="0"/>
                  <w:marBottom w:val="0"/>
                  <w:divBdr>
                    <w:top w:val="none" w:sz="0" w:space="0" w:color="auto"/>
                    <w:left w:val="none" w:sz="0" w:space="0" w:color="auto"/>
                    <w:bottom w:val="none" w:sz="0" w:space="0" w:color="auto"/>
                    <w:right w:val="none" w:sz="0" w:space="0" w:color="auto"/>
                  </w:divBdr>
                  <w:divsChild>
                    <w:div w:id="743380991">
                      <w:marLeft w:val="0"/>
                      <w:marRight w:val="0"/>
                      <w:marTop w:val="0"/>
                      <w:marBottom w:val="0"/>
                      <w:divBdr>
                        <w:top w:val="none" w:sz="0" w:space="0" w:color="auto"/>
                        <w:left w:val="none" w:sz="0" w:space="0" w:color="auto"/>
                        <w:bottom w:val="none" w:sz="0" w:space="0" w:color="auto"/>
                        <w:right w:val="none" w:sz="0" w:space="0" w:color="auto"/>
                      </w:divBdr>
                      <w:divsChild>
                        <w:div w:id="1562402867">
                          <w:marLeft w:val="0"/>
                          <w:marRight w:val="0"/>
                          <w:marTop w:val="0"/>
                          <w:marBottom w:val="0"/>
                          <w:divBdr>
                            <w:top w:val="none" w:sz="0" w:space="0" w:color="auto"/>
                            <w:left w:val="none" w:sz="0" w:space="0" w:color="auto"/>
                            <w:bottom w:val="none" w:sz="0" w:space="0" w:color="auto"/>
                            <w:right w:val="none" w:sz="0" w:space="0" w:color="auto"/>
                          </w:divBdr>
                          <w:divsChild>
                            <w:div w:id="96220964">
                              <w:marLeft w:val="0"/>
                              <w:marRight w:val="0"/>
                              <w:marTop w:val="0"/>
                              <w:marBottom w:val="0"/>
                              <w:divBdr>
                                <w:top w:val="none" w:sz="0" w:space="0" w:color="auto"/>
                                <w:left w:val="none" w:sz="0" w:space="0" w:color="auto"/>
                                <w:bottom w:val="none" w:sz="0" w:space="0" w:color="auto"/>
                                <w:right w:val="none" w:sz="0" w:space="0" w:color="auto"/>
                              </w:divBdr>
                              <w:divsChild>
                                <w:div w:id="2031759480">
                                  <w:marLeft w:val="0"/>
                                  <w:marRight w:val="0"/>
                                  <w:marTop w:val="0"/>
                                  <w:marBottom w:val="0"/>
                                  <w:divBdr>
                                    <w:top w:val="none" w:sz="0" w:space="0" w:color="auto"/>
                                    <w:left w:val="none" w:sz="0" w:space="0" w:color="auto"/>
                                    <w:bottom w:val="none" w:sz="0" w:space="0" w:color="auto"/>
                                    <w:right w:val="none" w:sz="0" w:space="0" w:color="auto"/>
                                  </w:divBdr>
                                  <w:divsChild>
                                    <w:div w:id="572812899">
                                      <w:marLeft w:val="0"/>
                                      <w:marRight w:val="0"/>
                                      <w:marTop w:val="0"/>
                                      <w:marBottom w:val="0"/>
                                      <w:divBdr>
                                        <w:top w:val="none" w:sz="0" w:space="0" w:color="auto"/>
                                        <w:left w:val="none" w:sz="0" w:space="0" w:color="auto"/>
                                        <w:bottom w:val="none" w:sz="0" w:space="0" w:color="auto"/>
                                        <w:right w:val="none" w:sz="0" w:space="0" w:color="auto"/>
                                      </w:divBdr>
                                      <w:divsChild>
                                        <w:div w:id="154254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458754">
                              <w:marLeft w:val="0"/>
                              <w:marRight w:val="0"/>
                              <w:marTop w:val="0"/>
                              <w:marBottom w:val="0"/>
                              <w:divBdr>
                                <w:top w:val="none" w:sz="0" w:space="0" w:color="auto"/>
                                <w:left w:val="none" w:sz="0" w:space="0" w:color="auto"/>
                                <w:bottom w:val="none" w:sz="0" w:space="0" w:color="auto"/>
                                <w:right w:val="none" w:sz="0" w:space="0" w:color="auto"/>
                              </w:divBdr>
                              <w:divsChild>
                                <w:div w:id="1816800563">
                                  <w:marLeft w:val="0"/>
                                  <w:marRight w:val="0"/>
                                  <w:marTop w:val="0"/>
                                  <w:marBottom w:val="0"/>
                                  <w:divBdr>
                                    <w:top w:val="none" w:sz="0" w:space="0" w:color="auto"/>
                                    <w:left w:val="none" w:sz="0" w:space="0" w:color="auto"/>
                                    <w:bottom w:val="none" w:sz="0" w:space="0" w:color="auto"/>
                                    <w:right w:val="none" w:sz="0" w:space="0" w:color="auto"/>
                                  </w:divBdr>
                                  <w:divsChild>
                                    <w:div w:id="1267081745">
                                      <w:marLeft w:val="0"/>
                                      <w:marRight w:val="0"/>
                                      <w:marTop w:val="0"/>
                                      <w:marBottom w:val="0"/>
                                      <w:divBdr>
                                        <w:top w:val="none" w:sz="0" w:space="0" w:color="auto"/>
                                        <w:left w:val="none" w:sz="0" w:space="0" w:color="auto"/>
                                        <w:bottom w:val="none" w:sz="0" w:space="0" w:color="auto"/>
                                        <w:right w:val="none" w:sz="0" w:space="0" w:color="auto"/>
                                      </w:divBdr>
                                      <w:divsChild>
                                        <w:div w:id="16563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8078470">
          <w:marLeft w:val="0"/>
          <w:marRight w:val="0"/>
          <w:marTop w:val="0"/>
          <w:marBottom w:val="0"/>
          <w:divBdr>
            <w:top w:val="none" w:sz="0" w:space="0" w:color="auto"/>
            <w:left w:val="none" w:sz="0" w:space="0" w:color="auto"/>
            <w:bottom w:val="none" w:sz="0" w:space="0" w:color="auto"/>
            <w:right w:val="none" w:sz="0" w:space="0" w:color="auto"/>
          </w:divBdr>
          <w:divsChild>
            <w:div w:id="1484931282">
              <w:marLeft w:val="0"/>
              <w:marRight w:val="0"/>
              <w:marTop w:val="0"/>
              <w:marBottom w:val="0"/>
              <w:divBdr>
                <w:top w:val="none" w:sz="0" w:space="0" w:color="auto"/>
                <w:left w:val="none" w:sz="0" w:space="0" w:color="auto"/>
                <w:bottom w:val="none" w:sz="0" w:space="0" w:color="auto"/>
                <w:right w:val="none" w:sz="0" w:space="0" w:color="auto"/>
              </w:divBdr>
              <w:divsChild>
                <w:div w:id="591208316">
                  <w:marLeft w:val="0"/>
                  <w:marRight w:val="0"/>
                  <w:marTop w:val="0"/>
                  <w:marBottom w:val="0"/>
                  <w:divBdr>
                    <w:top w:val="none" w:sz="0" w:space="0" w:color="auto"/>
                    <w:left w:val="none" w:sz="0" w:space="0" w:color="auto"/>
                    <w:bottom w:val="none" w:sz="0" w:space="0" w:color="auto"/>
                    <w:right w:val="none" w:sz="0" w:space="0" w:color="auto"/>
                  </w:divBdr>
                  <w:divsChild>
                    <w:div w:id="1398749075">
                      <w:marLeft w:val="0"/>
                      <w:marRight w:val="0"/>
                      <w:marTop w:val="0"/>
                      <w:marBottom w:val="0"/>
                      <w:divBdr>
                        <w:top w:val="none" w:sz="0" w:space="0" w:color="auto"/>
                        <w:left w:val="none" w:sz="0" w:space="0" w:color="auto"/>
                        <w:bottom w:val="none" w:sz="0" w:space="0" w:color="auto"/>
                        <w:right w:val="none" w:sz="0" w:space="0" w:color="auto"/>
                      </w:divBdr>
                      <w:divsChild>
                        <w:div w:id="406996829">
                          <w:marLeft w:val="0"/>
                          <w:marRight w:val="0"/>
                          <w:marTop w:val="0"/>
                          <w:marBottom w:val="0"/>
                          <w:divBdr>
                            <w:top w:val="none" w:sz="0" w:space="0" w:color="auto"/>
                            <w:left w:val="none" w:sz="0" w:space="0" w:color="auto"/>
                            <w:bottom w:val="none" w:sz="0" w:space="0" w:color="auto"/>
                            <w:right w:val="none" w:sz="0" w:space="0" w:color="auto"/>
                          </w:divBdr>
                          <w:divsChild>
                            <w:div w:id="932012797">
                              <w:marLeft w:val="0"/>
                              <w:marRight w:val="0"/>
                              <w:marTop w:val="0"/>
                              <w:marBottom w:val="0"/>
                              <w:divBdr>
                                <w:top w:val="none" w:sz="0" w:space="0" w:color="auto"/>
                                <w:left w:val="none" w:sz="0" w:space="0" w:color="auto"/>
                                <w:bottom w:val="none" w:sz="0" w:space="0" w:color="auto"/>
                                <w:right w:val="none" w:sz="0" w:space="0" w:color="auto"/>
                              </w:divBdr>
                              <w:divsChild>
                                <w:div w:id="213539924">
                                  <w:marLeft w:val="0"/>
                                  <w:marRight w:val="0"/>
                                  <w:marTop w:val="0"/>
                                  <w:marBottom w:val="0"/>
                                  <w:divBdr>
                                    <w:top w:val="none" w:sz="0" w:space="0" w:color="auto"/>
                                    <w:left w:val="none" w:sz="0" w:space="0" w:color="auto"/>
                                    <w:bottom w:val="none" w:sz="0" w:space="0" w:color="auto"/>
                                    <w:right w:val="none" w:sz="0" w:space="0" w:color="auto"/>
                                  </w:divBdr>
                                  <w:divsChild>
                                    <w:div w:id="1690569656">
                                      <w:marLeft w:val="0"/>
                                      <w:marRight w:val="0"/>
                                      <w:marTop w:val="0"/>
                                      <w:marBottom w:val="0"/>
                                      <w:divBdr>
                                        <w:top w:val="none" w:sz="0" w:space="0" w:color="auto"/>
                                        <w:left w:val="none" w:sz="0" w:space="0" w:color="auto"/>
                                        <w:bottom w:val="none" w:sz="0" w:space="0" w:color="auto"/>
                                        <w:right w:val="none" w:sz="0" w:space="0" w:color="auto"/>
                                      </w:divBdr>
                                      <w:divsChild>
                                        <w:div w:id="212901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919109">
                      <w:marLeft w:val="0"/>
                      <w:marRight w:val="0"/>
                      <w:marTop w:val="0"/>
                      <w:marBottom w:val="0"/>
                      <w:divBdr>
                        <w:top w:val="none" w:sz="0" w:space="0" w:color="auto"/>
                        <w:left w:val="none" w:sz="0" w:space="0" w:color="auto"/>
                        <w:bottom w:val="none" w:sz="0" w:space="0" w:color="auto"/>
                        <w:right w:val="none" w:sz="0" w:space="0" w:color="auto"/>
                      </w:divBdr>
                      <w:divsChild>
                        <w:div w:id="1584947496">
                          <w:marLeft w:val="0"/>
                          <w:marRight w:val="0"/>
                          <w:marTop w:val="0"/>
                          <w:marBottom w:val="0"/>
                          <w:divBdr>
                            <w:top w:val="none" w:sz="0" w:space="0" w:color="auto"/>
                            <w:left w:val="none" w:sz="0" w:space="0" w:color="auto"/>
                            <w:bottom w:val="none" w:sz="0" w:space="0" w:color="auto"/>
                            <w:right w:val="none" w:sz="0" w:space="0" w:color="auto"/>
                          </w:divBdr>
                          <w:divsChild>
                            <w:div w:id="522403757">
                              <w:marLeft w:val="0"/>
                              <w:marRight w:val="0"/>
                              <w:marTop w:val="0"/>
                              <w:marBottom w:val="0"/>
                              <w:divBdr>
                                <w:top w:val="none" w:sz="0" w:space="0" w:color="auto"/>
                                <w:left w:val="none" w:sz="0" w:space="0" w:color="auto"/>
                                <w:bottom w:val="none" w:sz="0" w:space="0" w:color="auto"/>
                                <w:right w:val="none" w:sz="0" w:space="0" w:color="auto"/>
                              </w:divBdr>
                              <w:divsChild>
                                <w:div w:id="498276011">
                                  <w:marLeft w:val="0"/>
                                  <w:marRight w:val="0"/>
                                  <w:marTop w:val="0"/>
                                  <w:marBottom w:val="0"/>
                                  <w:divBdr>
                                    <w:top w:val="none" w:sz="0" w:space="0" w:color="auto"/>
                                    <w:left w:val="none" w:sz="0" w:space="0" w:color="auto"/>
                                    <w:bottom w:val="none" w:sz="0" w:space="0" w:color="auto"/>
                                    <w:right w:val="none" w:sz="0" w:space="0" w:color="auto"/>
                                  </w:divBdr>
                                  <w:divsChild>
                                    <w:div w:id="177879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4653934">
      <w:bodyDiv w:val="1"/>
      <w:marLeft w:val="0"/>
      <w:marRight w:val="0"/>
      <w:marTop w:val="0"/>
      <w:marBottom w:val="0"/>
      <w:divBdr>
        <w:top w:val="none" w:sz="0" w:space="0" w:color="auto"/>
        <w:left w:val="none" w:sz="0" w:space="0" w:color="auto"/>
        <w:bottom w:val="none" w:sz="0" w:space="0" w:color="auto"/>
        <w:right w:val="none" w:sz="0" w:space="0" w:color="auto"/>
      </w:divBdr>
    </w:div>
    <w:div w:id="354038933">
      <w:bodyDiv w:val="1"/>
      <w:marLeft w:val="0"/>
      <w:marRight w:val="0"/>
      <w:marTop w:val="0"/>
      <w:marBottom w:val="0"/>
      <w:divBdr>
        <w:top w:val="none" w:sz="0" w:space="0" w:color="auto"/>
        <w:left w:val="none" w:sz="0" w:space="0" w:color="auto"/>
        <w:bottom w:val="none" w:sz="0" w:space="0" w:color="auto"/>
        <w:right w:val="none" w:sz="0" w:space="0" w:color="auto"/>
      </w:divBdr>
    </w:div>
    <w:div w:id="383986870">
      <w:bodyDiv w:val="1"/>
      <w:marLeft w:val="0"/>
      <w:marRight w:val="0"/>
      <w:marTop w:val="0"/>
      <w:marBottom w:val="0"/>
      <w:divBdr>
        <w:top w:val="none" w:sz="0" w:space="0" w:color="auto"/>
        <w:left w:val="none" w:sz="0" w:space="0" w:color="auto"/>
        <w:bottom w:val="none" w:sz="0" w:space="0" w:color="auto"/>
        <w:right w:val="none" w:sz="0" w:space="0" w:color="auto"/>
      </w:divBdr>
    </w:div>
    <w:div w:id="394469862">
      <w:bodyDiv w:val="1"/>
      <w:marLeft w:val="0"/>
      <w:marRight w:val="0"/>
      <w:marTop w:val="0"/>
      <w:marBottom w:val="0"/>
      <w:divBdr>
        <w:top w:val="none" w:sz="0" w:space="0" w:color="auto"/>
        <w:left w:val="none" w:sz="0" w:space="0" w:color="auto"/>
        <w:bottom w:val="none" w:sz="0" w:space="0" w:color="auto"/>
        <w:right w:val="none" w:sz="0" w:space="0" w:color="auto"/>
      </w:divBdr>
    </w:div>
    <w:div w:id="451364799">
      <w:bodyDiv w:val="1"/>
      <w:marLeft w:val="0"/>
      <w:marRight w:val="0"/>
      <w:marTop w:val="0"/>
      <w:marBottom w:val="0"/>
      <w:divBdr>
        <w:top w:val="none" w:sz="0" w:space="0" w:color="auto"/>
        <w:left w:val="none" w:sz="0" w:space="0" w:color="auto"/>
        <w:bottom w:val="none" w:sz="0" w:space="0" w:color="auto"/>
        <w:right w:val="none" w:sz="0" w:space="0" w:color="auto"/>
      </w:divBdr>
    </w:div>
    <w:div w:id="577642437">
      <w:bodyDiv w:val="1"/>
      <w:marLeft w:val="0"/>
      <w:marRight w:val="0"/>
      <w:marTop w:val="0"/>
      <w:marBottom w:val="0"/>
      <w:divBdr>
        <w:top w:val="none" w:sz="0" w:space="0" w:color="auto"/>
        <w:left w:val="none" w:sz="0" w:space="0" w:color="auto"/>
        <w:bottom w:val="none" w:sz="0" w:space="0" w:color="auto"/>
        <w:right w:val="none" w:sz="0" w:space="0" w:color="auto"/>
      </w:divBdr>
    </w:div>
    <w:div w:id="610624096">
      <w:bodyDiv w:val="1"/>
      <w:marLeft w:val="0"/>
      <w:marRight w:val="0"/>
      <w:marTop w:val="0"/>
      <w:marBottom w:val="0"/>
      <w:divBdr>
        <w:top w:val="none" w:sz="0" w:space="0" w:color="auto"/>
        <w:left w:val="none" w:sz="0" w:space="0" w:color="auto"/>
        <w:bottom w:val="none" w:sz="0" w:space="0" w:color="auto"/>
        <w:right w:val="none" w:sz="0" w:space="0" w:color="auto"/>
      </w:divBdr>
    </w:div>
    <w:div w:id="627394880">
      <w:bodyDiv w:val="1"/>
      <w:marLeft w:val="0"/>
      <w:marRight w:val="0"/>
      <w:marTop w:val="0"/>
      <w:marBottom w:val="0"/>
      <w:divBdr>
        <w:top w:val="none" w:sz="0" w:space="0" w:color="auto"/>
        <w:left w:val="none" w:sz="0" w:space="0" w:color="auto"/>
        <w:bottom w:val="none" w:sz="0" w:space="0" w:color="auto"/>
        <w:right w:val="none" w:sz="0" w:space="0" w:color="auto"/>
      </w:divBdr>
    </w:div>
    <w:div w:id="692149362">
      <w:bodyDiv w:val="1"/>
      <w:marLeft w:val="0"/>
      <w:marRight w:val="0"/>
      <w:marTop w:val="0"/>
      <w:marBottom w:val="0"/>
      <w:divBdr>
        <w:top w:val="none" w:sz="0" w:space="0" w:color="auto"/>
        <w:left w:val="none" w:sz="0" w:space="0" w:color="auto"/>
        <w:bottom w:val="none" w:sz="0" w:space="0" w:color="auto"/>
        <w:right w:val="none" w:sz="0" w:space="0" w:color="auto"/>
      </w:divBdr>
    </w:div>
    <w:div w:id="713384160">
      <w:bodyDiv w:val="1"/>
      <w:marLeft w:val="0"/>
      <w:marRight w:val="0"/>
      <w:marTop w:val="0"/>
      <w:marBottom w:val="0"/>
      <w:divBdr>
        <w:top w:val="none" w:sz="0" w:space="0" w:color="auto"/>
        <w:left w:val="none" w:sz="0" w:space="0" w:color="auto"/>
        <w:bottom w:val="none" w:sz="0" w:space="0" w:color="auto"/>
        <w:right w:val="none" w:sz="0" w:space="0" w:color="auto"/>
      </w:divBdr>
    </w:div>
    <w:div w:id="730227826">
      <w:bodyDiv w:val="1"/>
      <w:marLeft w:val="0"/>
      <w:marRight w:val="0"/>
      <w:marTop w:val="0"/>
      <w:marBottom w:val="0"/>
      <w:divBdr>
        <w:top w:val="none" w:sz="0" w:space="0" w:color="auto"/>
        <w:left w:val="none" w:sz="0" w:space="0" w:color="auto"/>
        <w:bottom w:val="none" w:sz="0" w:space="0" w:color="auto"/>
        <w:right w:val="none" w:sz="0" w:space="0" w:color="auto"/>
      </w:divBdr>
    </w:div>
    <w:div w:id="741484029">
      <w:bodyDiv w:val="1"/>
      <w:marLeft w:val="0"/>
      <w:marRight w:val="0"/>
      <w:marTop w:val="0"/>
      <w:marBottom w:val="0"/>
      <w:divBdr>
        <w:top w:val="none" w:sz="0" w:space="0" w:color="auto"/>
        <w:left w:val="none" w:sz="0" w:space="0" w:color="auto"/>
        <w:bottom w:val="none" w:sz="0" w:space="0" w:color="auto"/>
        <w:right w:val="none" w:sz="0" w:space="0" w:color="auto"/>
      </w:divBdr>
    </w:div>
    <w:div w:id="770711233">
      <w:bodyDiv w:val="1"/>
      <w:marLeft w:val="0"/>
      <w:marRight w:val="0"/>
      <w:marTop w:val="0"/>
      <w:marBottom w:val="0"/>
      <w:divBdr>
        <w:top w:val="none" w:sz="0" w:space="0" w:color="auto"/>
        <w:left w:val="none" w:sz="0" w:space="0" w:color="auto"/>
        <w:bottom w:val="none" w:sz="0" w:space="0" w:color="auto"/>
        <w:right w:val="none" w:sz="0" w:space="0" w:color="auto"/>
      </w:divBdr>
    </w:div>
    <w:div w:id="860436787">
      <w:bodyDiv w:val="1"/>
      <w:marLeft w:val="0"/>
      <w:marRight w:val="0"/>
      <w:marTop w:val="0"/>
      <w:marBottom w:val="0"/>
      <w:divBdr>
        <w:top w:val="none" w:sz="0" w:space="0" w:color="auto"/>
        <w:left w:val="none" w:sz="0" w:space="0" w:color="auto"/>
        <w:bottom w:val="none" w:sz="0" w:space="0" w:color="auto"/>
        <w:right w:val="none" w:sz="0" w:space="0" w:color="auto"/>
      </w:divBdr>
    </w:div>
    <w:div w:id="1018198447">
      <w:bodyDiv w:val="1"/>
      <w:marLeft w:val="0"/>
      <w:marRight w:val="0"/>
      <w:marTop w:val="0"/>
      <w:marBottom w:val="0"/>
      <w:divBdr>
        <w:top w:val="none" w:sz="0" w:space="0" w:color="auto"/>
        <w:left w:val="none" w:sz="0" w:space="0" w:color="auto"/>
        <w:bottom w:val="none" w:sz="0" w:space="0" w:color="auto"/>
        <w:right w:val="none" w:sz="0" w:space="0" w:color="auto"/>
      </w:divBdr>
    </w:div>
    <w:div w:id="1039476459">
      <w:bodyDiv w:val="1"/>
      <w:marLeft w:val="0"/>
      <w:marRight w:val="0"/>
      <w:marTop w:val="0"/>
      <w:marBottom w:val="0"/>
      <w:divBdr>
        <w:top w:val="none" w:sz="0" w:space="0" w:color="auto"/>
        <w:left w:val="none" w:sz="0" w:space="0" w:color="auto"/>
        <w:bottom w:val="none" w:sz="0" w:space="0" w:color="auto"/>
        <w:right w:val="none" w:sz="0" w:space="0" w:color="auto"/>
      </w:divBdr>
    </w:div>
    <w:div w:id="1060910369">
      <w:bodyDiv w:val="1"/>
      <w:marLeft w:val="0"/>
      <w:marRight w:val="0"/>
      <w:marTop w:val="0"/>
      <w:marBottom w:val="0"/>
      <w:divBdr>
        <w:top w:val="none" w:sz="0" w:space="0" w:color="auto"/>
        <w:left w:val="none" w:sz="0" w:space="0" w:color="auto"/>
        <w:bottom w:val="none" w:sz="0" w:space="0" w:color="auto"/>
        <w:right w:val="none" w:sz="0" w:space="0" w:color="auto"/>
      </w:divBdr>
    </w:div>
    <w:div w:id="1189831996">
      <w:bodyDiv w:val="1"/>
      <w:marLeft w:val="0"/>
      <w:marRight w:val="0"/>
      <w:marTop w:val="0"/>
      <w:marBottom w:val="0"/>
      <w:divBdr>
        <w:top w:val="none" w:sz="0" w:space="0" w:color="auto"/>
        <w:left w:val="none" w:sz="0" w:space="0" w:color="auto"/>
        <w:bottom w:val="none" w:sz="0" w:space="0" w:color="auto"/>
        <w:right w:val="none" w:sz="0" w:space="0" w:color="auto"/>
      </w:divBdr>
    </w:div>
    <w:div w:id="1213808419">
      <w:bodyDiv w:val="1"/>
      <w:marLeft w:val="0"/>
      <w:marRight w:val="0"/>
      <w:marTop w:val="0"/>
      <w:marBottom w:val="0"/>
      <w:divBdr>
        <w:top w:val="none" w:sz="0" w:space="0" w:color="auto"/>
        <w:left w:val="none" w:sz="0" w:space="0" w:color="auto"/>
        <w:bottom w:val="none" w:sz="0" w:space="0" w:color="auto"/>
        <w:right w:val="none" w:sz="0" w:space="0" w:color="auto"/>
      </w:divBdr>
    </w:div>
    <w:div w:id="1214583624">
      <w:bodyDiv w:val="1"/>
      <w:marLeft w:val="0"/>
      <w:marRight w:val="0"/>
      <w:marTop w:val="0"/>
      <w:marBottom w:val="0"/>
      <w:divBdr>
        <w:top w:val="none" w:sz="0" w:space="0" w:color="auto"/>
        <w:left w:val="none" w:sz="0" w:space="0" w:color="auto"/>
        <w:bottom w:val="none" w:sz="0" w:space="0" w:color="auto"/>
        <w:right w:val="none" w:sz="0" w:space="0" w:color="auto"/>
      </w:divBdr>
    </w:div>
    <w:div w:id="1246450342">
      <w:bodyDiv w:val="1"/>
      <w:marLeft w:val="0"/>
      <w:marRight w:val="0"/>
      <w:marTop w:val="0"/>
      <w:marBottom w:val="0"/>
      <w:divBdr>
        <w:top w:val="none" w:sz="0" w:space="0" w:color="auto"/>
        <w:left w:val="none" w:sz="0" w:space="0" w:color="auto"/>
        <w:bottom w:val="none" w:sz="0" w:space="0" w:color="auto"/>
        <w:right w:val="none" w:sz="0" w:space="0" w:color="auto"/>
      </w:divBdr>
    </w:div>
    <w:div w:id="1260482395">
      <w:bodyDiv w:val="1"/>
      <w:marLeft w:val="0"/>
      <w:marRight w:val="0"/>
      <w:marTop w:val="0"/>
      <w:marBottom w:val="0"/>
      <w:divBdr>
        <w:top w:val="none" w:sz="0" w:space="0" w:color="auto"/>
        <w:left w:val="none" w:sz="0" w:space="0" w:color="auto"/>
        <w:bottom w:val="none" w:sz="0" w:space="0" w:color="auto"/>
        <w:right w:val="none" w:sz="0" w:space="0" w:color="auto"/>
      </w:divBdr>
    </w:div>
    <w:div w:id="1305040196">
      <w:bodyDiv w:val="1"/>
      <w:marLeft w:val="0"/>
      <w:marRight w:val="0"/>
      <w:marTop w:val="0"/>
      <w:marBottom w:val="0"/>
      <w:divBdr>
        <w:top w:val="none" w:sz="0" w:space="0" w:color="auto"/>
        <w:left w:val="none" w:sz="0" w:space="0" w:color="auto"/>
        <w:bottom w:val="none" w:sz="0" w:space="0" w:color="auto"/>
        <w:right w:val="none" w:sz="0" w:space="0" w:color="auto"/>
      </w:divBdr>
    </w:div>
    <w:div w:id="1365906899">
      <w:bodyDiv w:val="1"/>
      <w:marLeft w:val="0"/>
      <w:marRight w:val="0"/>
      <w:marTop w:val="0"/>
      <w:marBottom w:val="0"/>
      <w:divBdr>
        <w:top w:val="none" w:sz="0" w:space="0" w:color="auto"/>
        <w:left w:val="none" w:sz="0" w:space="0" w:color="auto"/>
        <w:bottom w:val="none" w:sz="0" w:space="0" w:color="auto"/>
        <w:right w:val="none" w:sz="0" w:space="0" w:color="auto"/>
      </w:divBdr>
    </w:div>
    <w:div w:id="1550803171">
      <w:bodyDiv w:val="1"/>
      <w:marLeft w:val="0"/>
      <w:marRight w:val="0"/>
      <w:marTop w:val="0"/>
      <w:marBottom w:val="0"/>
      <w:divBdr>
        <w:top w:val="none" w:sz="0" w:space="0" w:color="auto"/>
        <w:left w:val="none" w:sz="0" w:space="0" w:color="auto"/>
        <w:bottom w:val="none" w:sz="0" w:space="0" w:color="auto"/>
        <w:right w:val="none" w:sz="0" w:space="0" w:color="auto"/>
      </w:divBdr>
    </w:div>
    <w:div w:id="1636717508">
      <w:bodyDiv w:val="1"/>
      <w:marLeft w:val="0"/>
      <w:marRight w:val="0"/>
      <w:marTop w:val="0"/>
      <w:marBottom w:val="0"/>
      <w:divBdr>
        <w:top w:val="none" w:sz="0" w:space="0" w:color="auto"/>
        <w:left w:val="none" w:sz="0" w:space="0" w:color="auto"/>
        <w:bottom w:val="none" w:sz="0" w:space="0" w:color="auto"/>
        <w:right w:val="none" w:sz="0" w:space="0" w:color="auto"/>
      </w:divBdr>
    </w:div>
    <w:div w:id="1686786536">
      <w:bodyDiv w:val="1"/>
      <w:marLeft w:val="0"/>
      <w:marRight w:val="0"/>
      <w:marTop w:val="0"/>
      <w:marBottom w:val="0"/>
      <w:divBdr>
        <w:top w:val="none" w:sz="0" w:space="0" w:color="auto"/>
        <w:left w:val="none" w:sz="0" w:space="0" w:color="auto"/>
        <w:bottom w:val="none" w:sz="0" w:space="0" w:color="auto"/>
        <w:right w:val="none" w:sz="0" w:space="0" w:color="auto"/>
      </w:divBdr>
    </w:div>
    <w:div w:id="1693409673">
      <w:bodyDiv w:val="1"/>
      <w:marLeft w:val="0"/>
      <w:marRight w:val="0"/>
      <w:marTop w:val="0"/>
      <w:marBottom w:val="0"/>
      <w:divBdr>
        <w:top w:val="none" w:sz="0" w:space="0" w:color="auto"/>
        <w:left w:val="none" w:sz="0" w:space="0" w:color="auto"/>
        <w:bottom w:val="none" w:sz="0" w:space="0" w:color="auto"/>
        <w:right w:val="none" w:sz="0" w:space="0" w:color="auto"/>
      </w:divBdr>
    </w:div>
    <w:div w:id="1738895966">
      <w:bodyDiv w:val="1"/>
      <w:marLeft w:val="0"/>
      <w:marRight w:val="0"/>
      <w:marTop w:val="0"/>
      <w:marBottom w:val="0"/>
      <w:divBdr>
        <w:top w:val="none" w:sz="0" w:space="0" w:color="auto"/>
        <w:left w:val="none" w:sz="0" w:space="0" w:color="auto"/>
        <w:bottom w:val="none" w:sz="0" w:space="0" w:color="auto"/>
        <w:right w:val="none" w:sz="0" w:space="0" w:color="auto"/>
      </w:divBdr>
    </w:div>
    <w:div w:id="1845585787">
      <w:bodyDiv w:val="1"/>
      <w:marLeft w:val="0"/>
      <w:marRight w:val="0"/>
      <w:marTop w:val="0"/>
      <w:marBottom w:val="0"/>
      <w:divBdr>
        <w:top w:val="none" w:sz="0" w:space="0" w:color="auto"/>
        <w:left w:val="none" w:sz="0" w:space="0" w:color="auto"/>
        <w:bottom w:val="none" w:sz="0" w:space="0" w:color="auto"/>
        <w:right w:val="none" w:sz="0" w:space="0" w:color="auto"/>
      </w:divBdr>
    </w:div>
    <w:div w:id="1866943961">
      <w:bodyDiv w:val="1"/>
      <w:marLeft w:val="0"/>
      <w:marRight w:val="0"/>
      <w:marTop w:val="0"/>
      <w:marBottom w:val="0"/>
      <w:divBdr>
        <w:top w:val="none" w:sz="0" w:space="0" w:color="auto"/>
        <w:left w:val="none" w:sz="0" w:space="0" w:color="auto"/>
        <w:bottom w:val="none" w:sz="0" w:space="0" w:color="auto"/>
        <w:right w:val="none" w:sz="0" w:space="0" w:color="auto"/>
      </w:divBdr>
    </w:div>
    <w:div w:id="1909798521">
      <w:bodyDiv w:val="1"/>
      <w:marLeft w:val="0"/>
      <w:marRight w:val="0"/>
      <w:marTop w:val="0"/>
      <w:marBottom w:val="0"/>
      <w:divBdr>
        <w:top w:val="none" w:sz="0" w:space="0" w:color="auto"/>
        <w:left w:val="none" w:sz="0" w:space="0" w:color="auto"/>
        <w:bottom w:val="none" w:sz="0" w:space="0" w:color="auto"/>
        <w:right w:val="none" w:sz="0" w:space="0" w:color="auto"/>
      </w:divBdr>
    </w:div>
    <w:div w:id="1911697492">
      <w:bodyDiv w:val="1"/>
      <w:marLeft w:val="0"/>
      <w:marRight w:val="0"/>
      <w:marTop w:val="0"/>
      <w:marBottom w:val="0"/>
      <w:divBdr>
        <w:top w:val="none" w:sz="0" w:space="0" w:color="auto"/>
        <w:left w:val="none" w:sz="0" w:space="0" w:color="auto"/>
        <w:bottom w:val="none" w:sz="0" w:space="0" w:color="auto"/>
        <w:right w:val="none" w:sz="0" w:space="0" w:color="auto"/>
      </w:divBdr>
    </w:div>
    <w:div w:id="1935630135">
      <w:bodyDiv w:val="1"/>
      <w:marLeft w:val="0"/>
      <w:marRight w:val="0"/>
      <w:marTop w:val="0"/>
      <w:marBottom w:val="0"/>
      <w:divBdr>
        <w:top w:val="none" w:sz="0" w:space="0" w:color="auto"/>
        <w:left w:val="none" w:sz="0" w:space="0" w:color="auto"/>
        <w:bottom w:val="none" w:sz="0" w:space="0" w:color="auto"/>
        <w:right w:val="none" w:sz="0" w:space="0" w:color="auto"/>
      </w:divBdr>
    </w:div>
    <w:div w:id="1941640286">
      <w:bodyDiv w:val="1"/>
      <w:marLeft w:val="0"/>
      <w:marRight w:val="0"/>
      <w:marTop w:val="0"/>
      <w:marBottom w:val="0"/>
      <w:divBdr>
        <w:top w:val="none" w:sz="0" w:space="0" w:color="auto"/>
        <w:left w:val="none" w:sz="0" w:space="0" w:color="auto"/>
        <w:bottom w:val="none" w:sz="0" w:space="0" w:color="auto"/>
        <w:right w:val="none" w:sz="0" w:space="0" w:color="auto"/>
      </w:divBdr>
    </w:div>
    <w:div w:id="2001038981">
      <w:bodyDiv w:val="1"/>
      <w:marLeft w:val="0"/>
      <w:marRight w:val="0"/>
      <w:marTop w:val="0"/>
      <w:marBottom w:val="0"/>
      <w:divBdr>
        <w:top w:val="none" w:sz="0" w:space="0" w:color="auto"/>
        <w:left w:val="none" w:sz="0" w:space="0" w:color="auto"/>
        <w:bottom w:val="none" w:sz="0" w:space="0" w:color="auto"/>
        <w:right w:val="none" w:sz="0" w:space="0" w:color="auto"/>
      </w:divBdr>
    </w:div>
    <w:div w:id="2039238783">
      <w:bodyDiv w:val="1"/>
      <w:marLeft w:val="0"/>
      <w:marRight w:val="0"/>
      <w:marTop w:val="0"/>
      <w:marBottom w:val="0"/>
      <w:divBdr>
        <w:top w:val="none" w:sz="0" w:space="0" w:color="auto"/>
        <w:left w:val="none" w:sz="0" w:space="0" w:color="auto"/>
        <w:bottom w:val="none" w:sz="0" w:space="0" w:color="auto"/>
        <w:right w:val="none" w:sz="0" w:space="0" w:color="auto"/>
      </w:divBdr>
    </w:div>
    <w:div w:id="2109692497">
      <w:bodyDiv w:val="1"/>
      <w:marLeft w:val="0"/>
      <w:marRight w:val="0"/>
      <w:marTop w:val="0"/>
      <w:marBottom w:val="0"/>
      <w:divBdr>
        <w:top w:val="none" w:sz="0" w:space="0" w:color="auto"/>
        <w:left w:val="none" w:sz="0" w:space="0" w:color="auto"/>
        <w:bottom w:val="none" w:sz="0" w:space="0" w:color="auto"/>
        <w:right w:val="none" w:sz="0" w:space="0" w:color="auto"/>
      </w:divBdr>
    </w:div>
    <w:div w:id="2113548479">
      <w:bodyDiv w:val="1"/>
      <w:marLeft w:val="0"/>
      <w:marRight w:val="0"/>
      <w:marTop w:val="0"/>
      <w:marBottom w:val="0"/>
      <w:divBdr>
        <w:top w:val="none" w:sz="0" w:space="0" w:color="auto"/>
        <w:left w:val="none" w:sz="0" w:space="0" w:color="auto"/>
        <w:bottom w:val="none" w:sz="0" w:space="0" w:color="auto"/>
        <w:right w:val="none" w:sz="0" w:space="0" w:color="auto"/>
      </w:divBdr>
      <w:divsChild>
        <w:div w:id="90589816">
          <w:marLeft w:val="0"/>
          <w:marRight w:val="0"/>
          <w:marTop w:val="0"/>
          <w:marBottom w:val="0"/>
          <w:divBdr>
            <w:top w:val="none" w:sz="0" w:space="0" w:color="auto"/>
            <w:left w:val="none" w:sz="0" w:space="0" w:color="auto"/>
            <w:bottom w:val="none" w:sz="0" w:space="0" w:color="auto"/>
            <w:right w:val="none" w:sz="0" w:space="0" w:color="auto"/>
          </w:divBdr>
          <w:divsChild>
            <w:div w:id="767505442">
              <w:marLeft w:val="0"/>
              <w:marRight w:val="0"/>
              <w:marTop w:val="0"/>
              <w:marBottom w:val="0"/>
              <w:divBdr>
                <w:top w:val="none" w:sz="0" w:space="0" w:color="auto"/>
                <w:left w:val="none" w:sz="0" w:space="0" w:color="auto"/>
                <w:bottom w:val="none" w:sz="0" w:space="0" w:color="auto"/>
                <w:right w:val="none" w:sz="0" w:space="0" w:color="auto"/>
              </w:divBdr>
              <w:divsChild>
                <w:div w:id="577372942">
                  <w:marLeft w:val="0"/>
                  <w:marRight w:val="0"/>
                  <w:marTop w:val="0"/>
                  <w:marBottom w:val="0"/>
                  <w:divBdr>
                    <w:top w:val="none" w:sz="0" w:space="0" w:color="auto"/>
                    <w:left w:val="none" w:sz="0" w:space="0" w:color="auto"/>
                    <w:bottom w:val="none" w:sz="0" w:space="0" w:color="auto"/>
                    <w:right w:val="none" w:sz="0" w:space="0" w:color="auto"/>
                  </w:divBdr>
                  <w:divsChild>
                    <w:div w:id="96607181">
                      <w:marLeft w:val="0"/>
                      <w:marRight w:val="0"/>
                      <w:marTop w:val="0"/>
                      <w:marBottom w:val="0"/>
                      <w:divBdr>
                        <w:top w:val="none" w:sz="0" w:space="0" w:color="auto"/>
                        <w:left w:val="none" w:sz="0" w:space="0" w:color="auto"/>
                        <w:bottom w:val="none" w:sz="0" w:space="0" w:color="auto"/>
                        <w:right w:val="none" w:sz="0" w:space="0" w:color="auto"/>
                      </w:divBdr>
                      <w:divsChild>
                        <w:div w:id="2036340888">
                          <w:marLeft w:val="0"/>
                          <w:marRight w:val="0"/>
                          <w:marTop w:val="0"/>
                          <w:marBottom w:val="0"/>
                          <w:divBdr>
                            <w:top w:val="none" w:sz="0" w:space="0" w:color="auto"/>
                            <w:left w:val="none" w:sz="0" w:space="0" w:color="auto"/>
                            <w:bottom w:val="none" w:sz="0" w:space="0" w:color="auto"/>
                            <w:right w:val="none" w:sz="0" w:space="0" w:color="auto"/>
                          </w:divBdr>
                          <w:divsChild>
                            <w:div w:id="1261989372">
                              <w:marLeft w:val="0"/>
                              <w:marRight w:val="0"/>
                              <w:marTop w:val="0"/>
                              <w:marBottom w:val="0"/>
                              <w:divBdr>
                                <w:top w:val="none" w:sz="0" w:space="0" w:color="auto"/>
                                <w:left w:val="none" w:sz="0" w:space="0" w:color="auto"/>
                                <w:bottom w:val="none" w:sz="0" w:space="0" w:color="auto"/>
                                <w:right w:val="none" w:sz="0" w:space="0" w:color="auto"/>
                              </w:divBdr>
                              <w:divsChild>
                                <w:div w:id="1132332871">
                                  <w:marLeft w:val="0"/>
                                  <w:marRight w:val="0"/>
                                  <w:marTop w:val="0"/>
                                  <w:marBottom w:val="0"/>
                                  <w:divBdr>
                                    <w:top w:val="none" w:sz="0" w:space="0" w:color="auto"/>
                                    <w:left w:val="none" w:sz="0" w:space="0" w:color="auto"/>
                                    <w:bottom w:val="none" w:sz="0" w:space="0" w:color="auto"/>
                                    <w:right w:val="none" w:sz="0" w:space="0" w:color="auto"/>
                                  </w:divBdr>
                                  <w:divsChild>
                                    <w:div w:id="1562865500">
                                      <w:marLeft w:val="0"/>
                                      <w:marRight w:val="0"/>
                                      <w:marTop w:val="0"/>
                                      <w:marBottom w:val="0"/>
                                      <w:divBdr>
                                        <w:top w:val="none" w:sz="0" w:space="0" w:color="auto"/>
                                        <w:left w:val="none" w:sz="0" w:space="0" w:color="auto"/>
                                        <w:bottom w:val="none" w:sz="0" w:space="0" w:color="auto"/>
                                        <w:right w:val="none" w:sz="0" w:space="0" w:color="auto"/>
                                      </w:divBdr>
                                      <w:divsChild>
                                        <w:div w:id="40969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3811440">
                      <w:marLeft w:val="0"/>
                      <w:marRight w:val="0"/>
                      <w:marTop w:val="0"/>
                      <w:marBottom w:val="0"/>
                      <w:divBdr>
                        <w:top w:val="none" w:sz="0" w:space="0" w:color="auto"/>
                        <w:left w:val="none" w:sz="0" w:space="0" w:color="auto"/>
                        <w:bottom w:val="none" w:sz="0" w:space="0" w:color="auto"/>
                        <w:right w:val="none" w:sz="0" w:space="0" w:color="auto"/>
                      </w:divBdr>
                      <w:divsChild>
                        <w:div w:id="2022969566">
                          <w:marLeft w:val="0"/>
                          <w:marRight w:val="0"/>
                          <w:marTop w:val="0"/>
                          <w:marBottom w:val="0"/>
                          <w:divBdr>
                            <w:top w:val="none" w:sz="0" w:space="0" w:color="auto"/>
                            <w:left w:val="none" w:sz="0" w:space="0" w:color="auto"/>
                            <w:bottom w:val="none" w:sz="0" w:space="0" w:color="auto"/>
                            <w:right w:val="none" w:sz="0" w:space="0" w:color="auto"/>
                          </w:divBdr>
                          <w:divsChild>
                            <w:div w:id="1000813364">
                              <w:marLeft w:val="0"/>
                              <w:marRight w:val="0"/>
                              <w:marTop w:val="0"/>
                              <w:marBottom w:val="0"/>
                              <w:divBdr>
                                <w:top w:val="none" w:sz="0" w:space="0" w:color="auto"/>
                                <w:left w:val="none" w:sz="0" w:space="0" w:color="auto"/>
                                <w:bottom w:val="none" w:sz="0" w:space="0" w:color="auto"/>
                                <w:right w:val="none" w:sz="0" w:space="0" w:color="auto"/>
                              </w:divBdr>
                              <w:divsChild>
                                <w:div w:id="1269460527">
                                  <w:marLeft w:val="0"/>
                                  <w:marRight w:val="0"/>
                                  <w:marTop w:val="0"/>
                                  <w:marBottom w:val="0"/>
                                  <w:divBdr>
                                    <w:top w:val="none" w:sz="0" w:space="0" w:color="auto"/>
                                    <w:left w:val="none" w:sz="0" w:space="0" w:color="auto"/>
                                    <w:bottom w:val="none" w:sz="0" w:space="0" w:color="auto"/>
                                    <w:right w:val="none" w:sz="0" w:space="0" w:color="auto"/>
                                  </w:divBdr>
                                  <w:divsChild>
                                    <w:div w:id="18608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814227">
          <w:marLeft w:val="0"/>
          <w:marRight w:val="0"/>
          <w:marTop w:val="0"/>
          <w:marBottom w:val="0"/>
          <w:divBdr>
            <w:top w:val="none" w:sz="0" w:space="0" w:color="auto"/>
            <w:left w:val="none" w:sz="0" w:space="0" w:color="auto"/>
            <w:bottom w:val="none" w:sz="0" w:space="0" w:color="auto"/>
            <w:right w:val="none" w:sz="0" w:space="0" w:color="auto"/>
          </w:divBdr>
          <w:divsChild>
            <w:div w:id="1563446548">
              <w:marLeft w:val="0"/>
              <w:marRight w:val="0"/>
              <w:marTop w:val="0"/>
              <w:marBottom w:val="0"/>
              <w:divBdr>
                <w:top w:val="none" w:sz="0" w:space="0" w:color="auto"/>
                <w:left w:val="none" w:sz="0" w:space="0" w:color="auto"/>
                <w:bottom w:val="none" w:sz="0" w:space="0" w:color="auto"/>
                <w:right w:val="none" w:sz="0" w:space="0" w:color="auto"/>
              </w:divBdr>
              <w:divsChild>
                <w:div w:id="1957057681">
                  <w:marLeft w:val="0"/>
                  <w:marRight w:val="0"/>
                  <w:marTop w:val="0"/>
                  <w:marBottom w:val="0"/>
                  <w:divBdr>
                    <w:top w:val="none" w:sz="0" w:space="0" w:color="auto"/>
                    <w:left w:val="none" w:sz="0" w:space="0" w:color="auto"/>
                    <w:bottom w:val="none" w:sz="0" w:space="0" w:color="auto"/>
                    <w:right w:val="none" w:sz="0" w:space="0" w:color="auto"/>
                  </w:divBdr>
                  <w:divsChild>
                    <w:div w:id="827670312">
                      <w:marLeft w:val="0"/>
                      <w:marRight w:val="0"/>
                      <w:marTop w:val="0"/>
                      <w:marBottom w:val="0"/>
                      <w:divBdr>
                        <w:top w:val="none" w:sz="0" w:space="0" w:color="auto"/>
                        <w:left w:val="none" w:sz="0" w:space="0" w:color="auto"/>
                        <w:bottom w:val="none" w:sz="0" w:space="0" w:color="auto"/>
                        <w:right w:val="none" w:sz="0" w:space="0" w:color="auto"/>
                      </w:divBdr>
                      <w:divsChild>
                        <w:div w:id="668367245">
                          <w:marLeft w:val="0"/>
                          <w:marRight w:val="0"/>
                          <w:marTop w:val="0"/>
                          <w:marBottom w:val="0"/>
                          <w:divBdr>
                            <w:top w:val="none" w:sz="0" w:space="0" w:color="auto"/>
                            <w:left w:val="none" w:sz="0" w:space="0" w:color="auto"/>
                            <w:bottom w:val="none" w:sz="0" w:space="0" w:color="auto"/>
                            <w:right w:val="none" w:sz="0" w:space="0" w:color="auto"/>
                          </w:divBdr>
                          <w:divsChild>
                            <w:div w:id="1249656260">
                              <w:marLeft w:val="0"/>
                              <w:marRight w:val="0"/>
                              <w:marTop w:val="0"/>
                              <w:marBottom w:val="0"/>
                              <w:divBdr>
                                <w:top w:val="none" w:sz="0" w:space="0" w:color="auto"/>
                                <w:left w:val="none" w:sz="0" w:space="0" w:color="auto"/>
                                <w:bottom w:val="none" w:sz="0" w:space="0" w:color="auto"/>
                                <w:right w:val="none" w:sz="0" w:space="0" w:color="auto"/>
                              </w:divBdr>
                              <w:divsChild>
                                <w:div w:id="586041277">
                                  <w:marLeft w:val="0"/>
                                  <w:marRight w:val="0"/>
                                  <w:marTop w:val="0"/>
                                  <w:marBottom w:val="0"/>
                                  <w:divBdr>
                                    <w:top w:val="none" w:sz="0" w:space="0" w:color="auto"/>
                                    <w:left w:val="none" w:sz="0" w:space="0" w:color="auto"/>
                                    <w:bottom w:val="none" w:sz="0" w:space="0" w:color="auto"/>
                                    <w:right w:val="none" w:sz="0" w:space="0" w:color="auto"/>
                                  </w:divBdr>
                                  <w:divsChild>
                                    <w:div w:id="2031029533">
                                      <w:marLeft w:val="0"/>
                                      <w:marRight w:val="0"/>
                                      <w:marTop w:val="0"/>
                                      <w:marBottom w:val="0"/>
                                      <w:divBdr>
                                        <w:top w:val="none" w:sz="0" w:space="0" w:color="auto"/>
                                        <w:left w:val="none" w:sz="0" w:space="0" w:color="auto"/>
                                        <w:bottom w:val="none" w:sz="0" w:space="0" w:color="auto"/>
                                        <w:right w:val="none" w:sz="0" w:space="0" w:color="auto"/>
                                      </w:divBdr>
                                      <w:divsChild>
                                        <w:div w:id="2067144095">
                                          <w:marLeft w:val="0"/>
                                          <w:marRight w:val="0"/>
                                          <w:marTop w:val="0"/>
                                          <w:marBottom w:val="0"/>
                                          <w:divBdr>
                                            <w:top w:val="none" w:sz="0" w:space="0" w:color="auto"/>
                                            <w:left w:val="none" w:sz="0" w:space="0" w:color="auto"/>
                                            <w:bottom w:val="none" w:sz="0" w:space="0" w:color="auto"/>
                                            <w:right w:val="none" w:sz="0" w:space="0" w:color="auto"/>
                                          </w:divBdr>
                                          <w:divsChild>
                                            <w:div w:id="141540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0989775">
          <w:marLeft w:val="0"/>
          <w:marRight w:val="0"/>
          <w:marTop w:val="0"/>
          <w:marBottom w:val="0"/>
          <w:divBdr>
            <w:top w:val="none" w:sz="0" w:space="0" w:color="auto"/>
            <w:left w:val="none" w:sz="0" w:space="0" w:color="auto"/>
            <w:bottom w:val="none" w:sz="0" w:space="0" w:color="auto"/>
            <w:right w:val="none" w:sz="0" w:space="0" w:color="auto"/>
          </w:divBdr>
          <w:divsChild>
            <w:div w:id="652560426">
              <w:marLeft w:val="0"/>
              <w:marRight w:val="0"/>
              <w:marTop w:val="0"/>
              <w:marBottom w:val="0"/>
              <w:divBdr>
                <w:top w:val="none" w:sz="0" w:space="0" w:color="auto"/>
                <w:left w:val="none" w:sz="0" w:space="0" w:color="auto"/>
                <w:bottom w:val="none" w:sz="0" w:space="0" w:color="auto"/>
                <w:right w:val="none" w:sz="0" w:space="0" w:color="auto"/>
              </w:divBdr>
              <w:divsChild>
                <w:div w:id="2000424945">
                  <w:marLeft w:val="0"/>
                  <w:marRight w:val="0"/>
                  <w:marTop w:val="0"/>
                  <w:marBottom w:val="0"/>
                  <w:divBdr>
                    <w:top w:val="none" w:sz="0" w:space="0" w:color="auto"/>
                    <w:left w:val="none" w:sz="0" w:space="0" w:color="auto"/>
                    <w:bottom w:val="none" w:sz="0" w:space="0" w:color="auto"/>
                    <w:right w:val="none" w:sz="0" w:space="0" w:color="auto"/>
                  </w:divBdr>
                  <w:divsChild>
                    <w:div w:id="1272321512">
                      <w:marLeft w:val="0"/>
                      <w:marRight w:val="0"/>
                      <w:marTop w:val="0"/>
                      <w:marBottom w:val="0"/>
                      <w:divBdr>
                        <w:top w:val="none" w:sz="0" w:space="0" w:color="auto"/>
                        <w:left w:val="none" w:sz="0" w:space="0" w:color="auto"/>
                        <w:bottom w:val="none" w:sz="0" w:space="0" w:color="auto"/>
                        <w:right w:val="none" w:sz="0" w:space="0" w:color="auto"/>
                      </w:divBdr>
                      <w:divsChild>
                        <w:div w:id="784539035">
                          <w:marLeft w:val="0"/>
                          <w:marRight w:val="0"/>
                          <w:marTop w:val="0"/>
                          <w:marBottom w:val="0"/>
                          <w:divBdr>
                            <w:top w:val="none" w:sz="0" w:space="0" w:color="auto"/>
                            <w:left w:val="none" w:sz="0" w:space="0" w:color="auto"/>
                            <w:bottom w:val="none" w:sz="0" w:space="0" w:color="auto"/>
                            <w:right w:val="none" w:sz="0" w:space="0" w:color="auto"/>
                          </w:divBdr>
                          <w:divsChild>
                            <w:div w:id="21980585">
                              <w:marLeft w:val="0"/>
                              <w:marRight w:val="0"/>
                              <w:marTop w:val="0"/>
                              <w:marBottom w:val="0"/>
                              <w:divBdr>
                                <w:top w:val="none" w:sz="0" w:space="0" w:color="auto"/>
                                <w:left w:val="none" w:sz="0" w:space="0" w:color="auto"/>
                                <w:bottom w:val="none" w:sz="0" w:space="0" w:color="auto"/>
                                <w:right w:val="none" w:sz="0" w:space="0" w:color="auto"/>
                              </w:divBdr>
                              <w:divsChild>
                                <w:div w:id="98566945">
                                  <w:marLeft w:val="0"/>
                                  <w:marRight w:val="0"/>
                                  <w:marTop w:val="0"/>
                                  <w:marBottom w:val="0"/>
                                  <w:divBdr>
                                    <w:top w:val="none" w:sz="0" w:space="0" w:color="auto"/>
                                    <w:left w:val="none" w:sz="0" w:space="0" w:color="auto"/>
                                    <w:bottom w:val="none" w:sz="0" w:space="0" w:color="auto"/>
                                    <w:right w:val="none" w:sz="0" w:space="0" w:color="auto"/>
                                  </w:divBdr>
                                  <w:divsChild>
                                    <w:div w:id="138886509">
                                      <w:marLeft w:val="0"/>
                                      <w:marRight w:val="0"/>
                                      <w:marTop w:val="0"/>
                                      <w:marBottom w:val="0"/>
                                      <w:divBdr>
                                        <w:top w:val="none" w:sz="0" w:space="0" w:color="auto"/>
                                        <w:left w:val="none" w:sz="0" w:space="0" w:color="auto"/>
                                        <w:bottom w:val="none" w:sz="0" w:space="0" w:color="auto"/>
                                        <w:right w:val="none" w:sz="0" w:space="0" w:color="auto"/>
                                      </w:divBdr>
                                      <w:divsChild>
                                        <w:div w:id="179313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539219">
                              <w:marLeft w:val="0"/>
                              <w:marRight w:val="0"/>
                              <w:marTop w:val="0"/>
                              <w:marBottom w:val="0"/>
                              <w:divBdr>
                                <w:top w:val="none" w:sz="0" w:space="0" w:color="auto"/>
                                <w:left w:val="none" w:sz="0" w:space="0" w:color="auto"/>
                                <w:bottom w:val="none" w:sz="0" w:space="0" w:color="auto"/>
                                <w:right w:val="none" w:sz="0" w:space="0" w:color="auto"/>
                              </w:divBdr>
                              <w:divsChild>
                                <w:div w:id="823200694">
                                  <w:marLeft w:val="0"/>
                                  <w:marRight w:val="0"/>
                                  <w:marTop w:val="0"/>
                                  <w:marBottom w:val="0"/>
                                  <w:divBdr>
                                    <w:top w:val="none" w:sz="0" w:space="0" w:color="auto"/>
                                    <w:left w:val="none" w:sz="0" w:space="0" w:color="auto"/>
                                    <w:bottom w:val="none" w:sz="0" w:space="0" w:color="auto"/>
                                    <w:right w:val="none" w:sz="0" w:space="0" w:color="auto"/>
                                  </w:divBdr>
                                  <w:divsChild>
                                    <w:div w:id="957906430">
                                      <w:marLeft w:val="0"/>
                                      <w:marRight w:val="0"/>
                                      <w:marTop w:val="0"/>
                                      <w:marBottom w:val="0"/>
                                      <w:divBdr>
                                        <w:top w:val="none" w:sz="0" w:space="0" w:color="auto"/>
                                        <w:left w:val="none" w:sz="0" w:space="0" w:color="auto"/>
                                        <w:bottom w:val="none" w:sz="0" w:space="0" w:color="auto"/>
                                        <w:right w:val="none" w:sz="0" w:space="0" w:color="auto"/>
                                      </w:divBdr>
                                      <w:divsChild>
                                        <w:div w:id="46736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athlin.Oeselg@kliimaministeerium.ee" TargetMode="External"/><Relationship Id="rId18" Type="http://schemas.openxmlformats.org/officeDocument/2006/relationships/hyperlink" Target="https://eur-lex.europa.eu/legal-content/ET/TXT/HTML/?uri=OJ:L_202401716" TargetMode="External"/><Relationship Id="rId26" Type="http://schemas.openxmlformats.org/officeDocument/2006/relationships/hyperlink" Target="https://mkm.ee/hoiamekokku" TargetMode="External"/><Relationship Id="rId39" Type="http://schemas.openxmlformats.org/officeDocument/2006/relationships/hyperlink" Target="https://www.interregeurope.eu/good-practices/public-sector-monitoring-reporting-programme" TargetMode="External"/><Relationship Id="rId21" Type="http://schemas.openxmlformats.org/officeDocument/2006/relationships/diagramLayout" Target="diagrams/layout1.xml"/><Relationship Id="rId34" Type="http://schemas.openxmlformats.org/officeDocument/2006/relationships/hyperlink" Target="https://kik.ee/et/toetavad-tegevused/ettevotete-ressursitohusus"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hyperlink" Target="https://www.kutseregister.ee/ctrl/et/Standardid/vaata/1125078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is.kilk@kliimaministeerium.ee" TargetMode="External"/><Relationship Id="rId24" Type="http://schemas.microsoft.com/office/2007/relationships/diagramDrawing" Target="diagrams/drawing1.xml"/><Relationship Id="rId32" Type="http://schemas.openxmlformats.org/officeDocument/2006/relationships/image" Target="media/image6.png"/><Relationship Id="rId37" Type="http://schemas.openxmlformats.org/officeDocument/2006/relationships/hyperlink" Target="https://www.klima-agence.lu/en/enercoach"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diagramColors" Target="diagrams/colors1.xml"/><Relationship Id="rId28" Type="http://schemas.openxmlformats.org/officeDocument/2006/relationships/hyperlink" Target="https://www.kutseregister.ee/ctrl/et/Standardid/vaata/11250587" TargetMode="External"/><Relationship Id="rId36" Type="http://schemas.openxmlformats.org/officeDocument/2006/relationships/hyperlink" Target="https://www.isge.hr/login.xhtml" TargetMode="External"/><Relationship Id="rId10" Type="http://schemas.openxmlformats.org/officeDocument/2006/relationships/hyperlink" Target="mailto:aleks.mark@kliimaministeerium.ee" TargetMode="External"/><Relationship Id="rId19" Type="http://schemas.openxmlformats.org/officeDocument/2006/relationships/hyperlink" Target="https://eur-lex.europa.eu/legal-content/ET/TXT/HTML/?uri=OJ:L_202401716" TargetMode="External"/><Relationship Id="rId31" Type="http://schemas.openxmlformats.org/officeDocument/2006/relationships/image" Target="media/image5.png"/><Relationship Id="rId44"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mailto:riina.tamm@kliimaministeerium.ee" TargetMode="External"/><Relationship Id="rId14" Type="http://schemas.openxmlformats.org/officeDocument/2006/relationships/image" Target="media/image1.png"/><Relationship Id="rId22" Type="http://schemas.openxmlformats.org/officeDocument/2006/relationships/diagramQuickStyle" Target="diagrams/quickStyle1.xml"/><Relationship Id="rId27" Type="http://schemas.openxmlformats.org/officeDocument/2006/relationships/hyperlink" Target="https://energiatalgud.ee/" TargetMode="External"/><Relationship Id="rId30" Type="http://schemas.openxmlformats.org/officeDocument/2006/relationships/hyperlink" Target="https://www.kutseregister.ee/ctrl/et/Standardid/vaata/11250808" TargetMode="External"/><Relationship Id="rId35" Type="http://schemas.openxmlformats.org/officeDocument/2006/relationships/image" Target="media/image7.png"/><Relationship Id="rId43"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anastassia.batulin@kliimaministeerium.ee" TargetMode="External"/><Relationship Id="rId17" Type="http://schemas.openxmlformats.org/officeDocument/2006/relationships/image" Target="media/image3.png"/><Relationship Id="rId25" Type="http://schemas.openxmlformats.org/officeDocument/2006/relationships/image" Target="media/image4.png"/><Relationship Id="rId33" Type="http://schemas.openxmlformats.org/officeDocument/2006/relationships/hyperlink" Target="https://eur-lex.europa.eu/legal-content/ET/TXT/PDF/?uri=OJ:L_202401364" TargetMode="External"/><Relationship Id="rId38" Type="http://schemas.openxmlformats.org/officeDocument/2006/relationships/hyperlink" Target="https://ultantechnologies.com/energy-efficiency-in-public-buildings/" TargetMode="External"/><Relationship Id="rId46" Type="http://schemas.openxmlformats.org/officeDocument/2006/relationships/fontTable" Target="fontTable.xml"/><Relationship Id="rId20" Type="http://schemas.openxmlformats.org/officeDocument/2006/relationships/diagramData" Target="diagrams/data1.xml"/><Relationship Id="rId41" Type="http://schemas.openxmlformats.org/officeDocument/2006/relationships/header" Target="header2.xml"/></Relationships>
</file>

<file path=word/_rels/footnotes.xml.rels><?xml version="1.0" encoding="UTF-8" standalone="yes"?>
<Relationships xmlns="http://schemas.openxmlformats.org/package/2006/relationships"><Relationship Id="rId26" Type="http://schemas.openxmlformats.org/officeDocument/2006/relationships/hyperlink" Target="https://www.riigiteataja.ee/akt/119032024003" TargetMode="External"/><Relationship Id="rId21" Type="http://schemas.openxmlformats.org/officeDocument/2006/relationships/hyperlink" Target="https://livekluster.ehr.ee/ui/ehr/v1/document/kp" TargetMode="External"/><Relationship Id="rId34" Type="http://schemas.openxmlformats.org/officeDocument/2006/relationships/hyperlink" Target="https://kliimaministeerium.ee/sites/default/files/documents/2023-06/Hoonete%20rekonstrueerimise%20pikaajaline%20strateegia.pdf" TargetMode="External"/><Relationship Id="rId42" Type="http://schemas.openxmlformats.org/officeDocument/2006/relationships/hyperlink" Target="https://www.riigiteataja.ee/akt/124112023007" TargetMode="External"/><Relationship Id="rId47" Type="http://schemas.openxmlformats.org/officeDocument/2006/relationships/hyperlink" Target="https://www.riigiteataja.ee/akt/120112020005" TargetMode="External"/><Relationship Id="rId50" Type="http://schemas.openxmlformats.org/officeDocument/2006/relationships/hyperlink" Target="https://commission.europa.eu/strategy-and-policy/priorities-2019-2024/europe-fit-digital-age/europes-digital-decade-digital-targets-2030_et" TargetMode="External"/><Relationship Id="rId55" Type="http://schemas.openxmlformats.org/officeDocument/2006/relationships/hyperlink" Target="https://commission.europa.eu/topics/eu-competitiveness/draghi-report_en?prefLang=et" TargetMode="External"/><Relationship Id="rId63" Type="http://schemas.openxmlformats.org/officeDocument/2006/relationships/hyperlink" Target="https://www.riigiteataja.ee/aktilisa/1241/1202/3007/VV_104m_lisa.pdf" TargetMode="External"/><Relationship Id="rId7" Type="http://schemas.openxmlformats.org/officeDocument/2006/relationships/hyperlink" Target="https://www.stat.ee/et/esita-andmeid/andmete-esitamisest/ettevotete-uuringud/majandusuksuste-klassifitseerimise-abiinfo" TargetMode="External"/><Relationship Id="rId2" Type="http://schemas.openxmlformats.org/officeDocument/2006/relationships/hyperlink" Target="https://eur-lex.europa.eu/legal-content/ET/TXT/PDF/?uri=CELEX:32022R2299" TargetMode="External"/><Relationship Id="rId16" Type="http://schemas.openxmlformats.org/officeDocument/2006/relationships/hyperlink" Target="https://www.riigikontroll.ee/DesktopModules/DigiDetail/FileDownloader.aspx?AuditId=2497&amp;FileId=14550" TargetMode="External"/><Relationship Id="rId29" Type="http://schemas.openxmlformats.org/officeDocument/2006/relationships/hyperlink" Target="https://minuomavalitsus.ee/muud-toolauad/kinnisvara-ulevaade" TargetMode="External"/><Relationship Id="rId11" Type="http://schemas.openxmlformats.org/officeDocument/2006/relationships/hyperlink" Target="https://ec.europa.eu/docsroom/documents/42921/attachments/1/translations/et/renditions/native" TargetMode="External"/><Relationship Id="rId24" Type="http://schemas.openxmlformats.org/officeDocument/2006/relationships/hyperlink" Target="https://www.riigikantselei.ee/hoone-indikatiivse-energiatohususe-klassi-reaalajas-maaramine-ning-energiatohususearvu-jarelevalve" TargetMode="External"/><Relationship Id="rId32" Type="http://schemas.openxmlformats.org/officeDocument/2006/relationships/hyperlink" Target="https://eur-lex.europa.eu/legal-content/ET/TXT/PDF/?uri=OJ:L_202401275" TargetMode="External"/><Relationship Id="rId37" Type="http://schemas.openxmlformats.org/officeDocument/2006/relationships/hyperlink" Target="https://www.riigiteataja.ee/akt/189806" TargetMode="External"/><Relationship Id="rId40" Type="http://schemas.openxmlformats.org/officeDocument/2006/relationships/hyperlink" Target="https://www.riigiteataja.ee/akt/131122024051?leiaKehtiv" TargetMode="External"/><Relationship Id="rId45" Type="http://schemas.openxmlformats.org/officeDocument/2006/relationships/hyperlink" Target="https://www.fin.ee/riigi-rahandus-ja-maksud/valistoetused/toetusfondid-ja-programmid" TargetMode="External"/><Relationship Id="rId53" Type="http://schemas.openxmlformats.org/officeDocument/2006/relationships/hyperlink" Target="https://www.borderstep.org/projekte/eudcear/" TargetMode="External"/><Relationship Id="rId58" Type="http://schemas.openxmlformats.org/officeDocument/2006/relationships/hyperlink" Target="https://www.rtk.ee/uudised/riik-toetab-70-miljoni-euroga-omavalitsushoonete-energiatohusamaks-muutmist" TargetMode="External"/><Relationship Id="rId66" Type="http://schemas.openxmlformats.org/officeDocument/2006/relationships/hyperlink" Target="https://www.riigiteataja.ee/akt/12930302" TargetMode="External"/><Relationship Id="rId5" Type="http://schemas.openxmlformats.org/officeDocument/2006/relationships/hyperlink" Target="https://www.fin.ee/sites/default/files/documents/2024-11/Avaliku_sektori_asutused_asutuse_liikide_loikes_aprill_2024_0.xlsx" TargetMode="External"/><Relationship Id="rId61" Type="http://schemas.openxmlformats.org/officeDocument/2006/relationships/hyperlink" Target="https://www.riigiteataja.ee/akt/124112023007" TargetMode="External"/><Relationship Id="rId19" Type="http://schemas.openxmlformats.org/officeDocument/2006/relationships/hyperlink" Target="https://kaitseministeerium.ee/et/eesmargid-tegevused/kaitseministeeriumi-valitsemisala-kliimastrateegia" TargetMode="External"/><Relationship Id="rId14" Type="http://schemas.openxmlformats.org/officeDocument/2006/relationships/hyperlink" Target="https://eur-lex.europa.eu/legal-content/ET/TXT/PDF/?uri=CELEX:32018R1999" TargetMode="External"/><Relationship Id="rId22" Type="http://schemas.openxmlformats.org/officeDocument/2006/relationships/hyperlink" Target="https://andmed.stat.ee/et/stat/majandus__energeetika__energia-tarbimine-ja-tootmine__aastastatistika/KE08/table/tableViewLayout2" TargetMode="External"/><Relationship Id="rId27" Type="http://schemas.openxmlformats.org/officeDocument/2006/relationships/hyperlink" Target="https://www.riigiteataja.ee/akt/119032024003" TargetMode="External"/><Relationship Id="rId30" Type="http://schemas.openxmlformats.org/officeDocument/2006/relationships/hyperlink" Target="https://www.riigiteataja.ee/akt/110102024005" TargetMode="External"/><Relationship Id="rId35" Type="http://schemas.openxmlformats.org/officeDocument/2006/relationships/hyperlink" Target="https://eur-lex.europa.eu/legal-content/ET/TXT/PDF/?uri=OJ:L_202401275" TargetMode="External"/><Relationship Id="rId43" Type="http://schemas.openxmlformats.org/officeDocument/2006/relationships/hyperlink" Target="https://eelnoud.valitsus.ee/main/mount/docList/bf71c185-81f0-44c7-89db-c3f0736c0af7?activity=2" TargetMode="External"/><Relationship Id="rId48" Type="http://schemas.openxmlformats.org/officeDocument/2006/relationships/hyperlink" Target="https://realtimeeconomy.ee/mis-reaalajamajandus-rte" TargetMode="External"/><Relationship Id="rId56" Type="http://schemas.openxmlformats.org/officeDocument/2006/relationships/hyperlink" Target="https://www.consilium.europa.eu/et/policies/competitiveness-compass/?utm_source=chatgpt.com" TargetMode="External"/><Relationship Id="rId64" Type="http://schemas.openxmlformats.org/officeDocument/2006/relationships/hyperlink" Target="https://energiatalgud.ee/sites/default/files/2024-04/Estonia_RenoWave_Comprehensive%20Executive%20Summary.pdf" TargetMode="External"/><Relationship Id="rId8" Type="http://schemas.openxmlformats.org/officeDocument/2006/relationships/hyperlink" Target="https://ec.europa.eu/eurostat/en/web/products-statistical-books/-/ks-gp-13-002" TargetMode="External"/><Relationship Id="rId51" Type="http://schemas.openxmlformats.org/officeDocument/2006/relationships/hyperlink" Target="https://www.iea.org/commentaries/how-will-artificial-intelligence-transform-energy-innovation" TargetMode="External"/><Relationship Id="rId3" Type="http://schemas.openxmlformats.org/officeDocument/2006/relationships/hyperlink" Target="https://eur-lex.europa.eu/legal-content/ET/TXT/PDF/?uri=OJ:L_202401722" TargetMode="External"/><Relationship Id="rId12" Type="http://schemas.openxmlformats.org/officeDocument/2006/relationships/hyperlink" Target="https://eur-lex.europa.eu/legal-content/ET/TXT/PDF/?uri=CELEX:32021H1749" TargetMode="External"/><Relationship Id="rId17" Type="http://schemas.openxmlformats.org/officeDocument/2006/relationships/hyperlink" Target="https://eda.europa.eu/docs/default-source/brochures/05-01-24-defence-energy-factsheet.pdf" TargetMode="External"/><Relationship Id="rId25" Type="http://schemas.openxmlformats.org/officeDocument/2006/relationships/hyperlink" Target="https://realtimeeconomy.ee/andmepohine-aruandlus" TargetMode="External"/><Relationship Id="rId33" Type="http://schemas.openxmlformats.org/officeDocument/2006/relationships/hyperlink" Target="https://www.riigiteataja.ee/akt/SHS" TargetMode="External"/><Relationship Id="rId38" Type="http://schemas.openxmlformats.org/officeDocument/2006/relationships/hyperlink" Target="https://www.riigiteataja.ee/akt/129072017006?leiaKehtiv" TargetMode="External"/><Relationship Id="rId46" Type="http://schemas.openxmlformats.org/officeDocument/2006/relationships/hyperlink" Target="https://www.kutseregister.ee/ctrl/et/Standardid/exportPdf/11326725/?nocache=p8ee766f28" TargetMode="External"/><Relationship Id="rId59" Type="http://schemas.openxmlformats.org/officeDocument/2006/relationships/hyperlink" Target="https://minuomavalitsus.ee/muud-toolauad/kinnisvara-ulevaade" TargetMode="External"/><Relationship Id="rId20" Type="http://schemas.openxmlformats.org/officeDocument/2006/relationships/hyperlink" Target="https://www.riigiteataja.ee/akt/119032024003" TargetMode="External"/><Relationship Id="rId41" Type="http://schemas.openxmlformats.org/officeDocument/2006/relationships/hyperlink" Target="https://www.riigiteataja.ee/akt/104072024018" TargetMode="External"/><Relationship Id="rId54" Type="http://schemas.openxmlformats.org/officeDocument/2006/relationships/hyperlink" Target="https://energy.ec.europa.eu/strategy/energy-union_en?prefLang=et" TargetMode="External"/><Relationship Id="rId62" Type="http://schemas.openxmlformats.org/officeDocument/2006/relationships/hyperlink" Target="https://eelnoud.valitsus.ee/main/mount/docList/bf71c185-81f0-44c7-89db-c3f0736c0af7?activity=1" TargetMode="External"/><Relationship Id="rId1" Type="http://schemas.openxmlformats.org/officeDocument/2006/relationships/hyperlink" Target="https://www.riigikogu.ee/tegevus/dokumendiregister/toimikud/d5fd33aa-5caf-413e-a9d7-457164adaa99/" TargetMode="External"/><Relationship Id="rId6" Type="http://schemas.openxmlformats.org/officeDocument/2006/relationships/hyperlink" Target="https://www.riigiteataja.ee/akt/RES" TargetMode="External"/><Relationship Id="rId15" Type="http://schemas.openxmlformats.org/officeDocument/2006/relationships/hyperlink" Target="https://eur-lex.europa.eu/legal-content/ET/TXT/HTML/?uri=CELEX:52020DC0299&amp;from=EN" TargetMode="External"/><Relationship Id="rId23" Type="http://schemas.openxmlformats.org/officeDocument/2006/relationships/hyperlink" Target="https://kaitseministeerium.ee/sites/default/files/kaitseministeerium_kliimastrateegia.pdf" TargetMode="External"/><Relationship Id="rId28" Type="http://schemas.openxmlformats.org/officeDocument/2006/relationships/hyperlink" Target="https://livekluster.ehr.ee/ui/ehr/v1/document/kp" TargetMode="External"/><Relationship Id="rId36" Type="http://schemas.openxmlformats.org/officeDocument/2006/relationships/hyperlink" Target="https://view.officeapps.live.com/op/view.aspx?src=https%3A%2F%2Fkliimaministeerium.ee%2Fsites%2Fdefault%2Ffiles%2Fdocuments%2F2023-07%2FJuhend%2520avaliku%2520sektori%2520energiat%25C3%25B5hususlepingute%2520koostamiseks.docx&amp;wdOrigin=BROWSELINK" TargetMode="External"/><Relationship Id="rId49" Type="http://schemas.openxmlformats.org/officeDocument/2006/relationships/hyperlink" Target="https://eur-lex.europa.eu/legal-content/ET/TXT/PDF/?uri=CELEX:32023L1791" TargetMode="External"/><Relationship Id="rId57" Type="http://schemas.openxmlformats.org/officeDocument/2006/relationships/hyperlink" Target="https://commission.europa.eu/topics/eu-competitiveness/clean-industrial-deal_et" TargetMode="External"/><Relationship Id="rId10" Type="http://schemas.openxmlformats.org/officeDocument/2006/relationships/hyperlink" Target="https://eur-lex.europa.eu/eli/reco/2003/361/oj/eng" TargetMode="External"/><Relationship Id="rId31" Type="http://schemas.openxmlformats.org/officeDocument/2006/relationships/hyperlink" Target="https://www.riigiteataja.ee/akt/108102024004" TargetMode="External"/><Relationship Id="rId44" Type="http://schemas.openxmlformats.org/officeDocument/2006/relationships/hyperlink" Target="https://stat.ee/et/avasta-statistikat/valdkonnad/heaolu/leibkonnad" TargetMode="External"/><Relationship Id="rId52" Type="http://schemas.openxmlformats.org/officeDocument/2006/relationships/hyperlink" Target="https://www.iea.org/commentaries/what-the-data-centre-and-ai-boom-could-mean-for-the-energy-sector" TargetMode="External"/><Relationship Id="rId60" Type="http://schemas.openxmlformats.org/officeDocument/2006/relationships/hyperlink" Target="https://www.riigikantselei.ee/hoone-indikatiivse-energiatohususe-klassi-reaalajas-maaramine-ning-energiatohususearvu-jarelevalve" TargetMode="External"/><Relationship Id="rId65" Type="http://schemas.openxmlformats.org/officeDocument/2006/relationships/hyperlink" Target="https://energiatalgud.ee/node/8919?category=1706" TargetMode="External"/><Relationship Id="rId4" Type="http://schemas.openxmlformats.org/officeDocument/2006/relationships/hyperlink" Target="https://kliimaministeerium.ee/sites/default/files/documents/2024-11/ENMAK%202035%20eeln%C3%B5u%20t%C3%B6%C3%B6versioon%2013.november%202024.pdf" TargetMode="External"/><Relationship Id="rId9" Type="http://schemas.openxmlformats.org/officeDocument/2006/relationships/hyperlink" Target="https://www.fin.ee/riigihaldus-ja-avalik-teenistus-kinnisvara/riigihaldus/avaliku-sektori-statistika" TargetMode="External"/><Relationship Id="rId13" Type="http://schemas.openxmlformats.org/officeDocument/2006/relationships/hyperlink" Target="https://eur-lex.europa.eu/legal-content/ET/TXT/PDF/?uri=CELEX:32020R0852" TargetMode="External"/><Relationship Id="rId18" Type="http://schemas.openxmlformats.org/officeDocument/2006/relationships/hyperlink" Target="https://eda.europa.eu/what-we-do/eu-policies/consultation-forum" TargetMode="External"/><Relationship Id="rId39" Type="http://schemas.openxmlformats.org/officeDocument/2006/relationships/hyperlink" Target="https://eur-lex.europa.eu/legal-content/ET/TXT/PDF/?uri=OJ:L_202402481"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Avaliku sektori</a:t>
            </a:r>
            <a:r>
              <a:rPr lang="et-EE" baseline="0"/>
              <a:t> energiasäästu kohustus (GWh)</a:t>
            </a:r>
            <a:endParaRPr lang="et-EE"/>
          </a:p>
        </c:rich>
      </c:tx>
      <c:layout>
        <c:manualLayout>
          <c:xMode val="edge"/>
          <c:yMode val="edge"/>
          <c:x val="0.21494096771256177"/>
          <c:y val="2.719577257986310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col"/>
        <c:grouping val="stacked"/>
        <c:varyColors val="0"/>
        <c:ser>
          <c:idx val="0"/>
          <c:order val="0"/>
          <c:tx>
            <c:strRef>
              <c:f>Leht1!$B$124</c:f>
              <c:strCache>
                <c:ptCount val="1"/>
                <c:pt idx="0">
                  <c:v>Keskvalitsus ja suured linnad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t-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Leht1!$C$123:$N$123</c:f>
              <c:strCache>
                <c:ptCount val="12"/>
                <c:pt idx="0">
                  <c:v>Baastase 2021</c:v>
                </c:pt>
                <c:pt idx="1">
                  <c:v>2025</c:v>
                </c:pt>
                <c:pt idx="2">
                  <c:v>2026</c:v>
                </c:pt>
                <c:pt idx="3">
                  <c:v>2027</c:v>
                </c:pt>
                <c:pt idx="4">
                  <c:v>2028</c:v>
                </c:pt>
                <c:pt idx="5">
                  <c:v>2029</c:v>
                </c:pt>
                <c:pt idx="6">
                  <c:v>2030</c:v>
                </c:pt>
                <c:pt idx="7">
                  <c:v>2031</c:v>
                </c:pt>
                <c:pt idx="8">
                  <c:v>2032</c:v>
                </c:pt>
                <c:pt idx="9">
                  <c:v>2033</c:v>
                </c:pt>
                <c:pt idx="10">
                  <c:v>2034</c:v>
                </c:pt>
                <c:pt idx="11">
                  <c:v>2035</c:v>
                </c:pt>
              </c:strCache>
            </c:strRef>
          </c:cat>
          <c:val>
            <c:numRef>
              <c:f>Leht1!$C$124:$N$124</c:f>
              <c:numCache>
                <c:formatCode>0</c:formatCode>
                <c:ptCount val="12"/>
                <c:pt idx="0" formatCode="#,##0">
                  <c:v>1511.7405016941877</c:v>
                </c:pt>
                <c:pt idx="1">
                  <c:v>1511.1358054935101</c:v>
                </c:pt>
                <c:pt idx="2">
                  <c:v>1482.4127359613205</c:v>
                </c:pt>
                <c:pt idx="3">
                  <c:v>1453.689666429131</c:v>
                </c:pt>
                <c:pt idx="4">
                  <c:v>1424.9665968969414</c:v>
                </c:pt>
                <c:pt idx="5">
                  <c:v>1396.2435273647518</c:v>
                </c:pt>
                <c:pt idx="6">
                  <c:v>1367.5204578325622</c:v>
                </c:pt>
                <c:pt idx="7">
                  <c:v>1338.7973883003726</c:v>
                </c:pt>
                <c:pt idx="8">
                  <c:v>1310.074318768183</c:v>
                </c:pt>
                <c:pt idx="9">
                  <c:v>1281.3512492359935</c:v>
                </c:pt>
                <c:pt idx="10">
                  <c:v>1252.6281797038039</c:v>
                </c:pt>
                <c:pt idx="11">
                  <c:v>1223.9051101716143</c:v>
                </c:pt>
              </c:numCache>
            </c:numRef>
          </c:val>
          <c:extLst>
            <c:ext xmlns:c16="http://schemas.microsoft.com/office/drawing/2014/chart" uri="{C3380CC4-5D6E-409C-BE32-E72D297353CC}">
              <c16:uniqueId val="{00000000-BE7B-492E-A1FD-2E9CB50F2B9A}"/>
            </c:ext>
          </c:extLst>
        </c:ser>
        <c:ser>
          <c:idx val="1"/>
          <c:order val="1"/>
          <c:tx>
            <c:strRef>
              <c:f>Leht1!$B$125</c:f>
              <c:strCache>
                <c:ptCount val="1"/>
                <c:pt idx="0">
                  <c:v>Keskmised KOV-id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t-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Leht1!$C$123:$N$123</c:f>
              <c:strCache>
                <c:ptCount val="12"/>
                <c:pt idx="0">
                  <c:v>Baastase 2021</c:v>
                </c:pt>
                <c:pt idx="1">
                  <c:v>2025</c:v>
                </c:pt>
                <c:pt idx="2">
                  <c:v>2026</c:v>
                </c:pt>
                <c:pt idx="3">
                  <c:v>2027</c:v>
                </c:pt>
                <c:pt idx="4">
                  <c:v>2028</c:v>
                </c:pt>
                <c:pt idx="5">
                  <c:v>2029</c:v>
                </c:pt>
                <c:pt idx="6">
                  <c:v>2030</c:v>
                </c:pt>
                <c:pt idx="7">
                  <c:v>2031</c:v>
                </c:pt>
                <c:pt idx="8">
                  <c:v>2032</c:v>
                </c:pt>
                <c:pt idx="9">
                  <c:v>2033</c:v>
                </c:pt>
                <c:pt idx="10">
                  <c:v>2034</c:v>
                </c:pt>
                <c:pt idx="11">
                  <c:v>2035</c:v>
                </c:pt>
              </c:strCache>
            </c:strRef>
          </c:cat>
          <c:val>
            <c:numRef>
              <c:f>Leht1!$C$125:$N$125</c:f>
              <c:numCache>
                <c:formatCode>General</c:formatCode>
                <c:ptCount val="12"/>
                <c:pt idx="0" formatCode="#,##0">
                  <c:v>629.62150398600033</c:v>
                </c:pt>
                <c:pt idx="3" formatCode="0">
                  <c:v>617.65869541026632</c:v>
                </c:pt>
                <c:pt idx="4" formatCode="0">
                  <c:v>605.6958868345323</c:v>
                </c:pt>
                <c:pt idx="5" formatCode="0">
                  <c:v>593.73307825879829</c:v>
                </c:pt>
                <c:pt idx="6" formatCode="0">
                  <c:v>581.77026968306427</c:v>
                </c:pt>
                <c:pt idx="7" formatCode="0">
                  <c:v>569.80746110733025</c:v>
                </c:pt>
                <c:pt idx="8" formatCode="0">
                  <c:v>557.84465253159624</c:v>
                </c:pt>
                <c:pt idx="9" formatCode="0">
                  <c:v>545.88184395586222</c:v>
                </c:pt>
                <c:pt idx="10" formatCode="0">
                  <c:v>533.91903538012821</c:v>
                </c:pt>
                <c:pt idx="11" formatCode="0">
                  <c:v>521.95622680439419</c:v>
                </c:pt>
              </c:numCache>
            </c:numRef>
          </c:val>
          <c:extLst>
            <c:ext xmlns:c16="http://schemas.microsoft.com/office/drawing/2014/chart" uri="{C3380CC4-5D6E-409C-BE32-E72D297353CC}">
              <c16:uniqueId val="{00000001-BE7B-492E-A1FD-2E9CB50F2B9A}"/>
            </c:ext>
          </c:extLst>
        </c:ser>
        <c:ser>
          <c:idx val="2"/>
          <c:order val="2"/>
          <c:tx>
            <c:strRef>
              <c:f>Leht1!$B$126</c:f>
              <c:strCache>
                <c:ptCount val="1"/>
                <c:pt idx="0">
                  <c:v>Väiksed KOV-id</c:v>
                </c:pt>
              </c:strCache>
            </c:strRef>
          </c:tx>
          <c:spPr>
            <a:solidFill>
              <a:schemeClr val="accent6"/>
            </a:solidFill>
            <a:ln>
              <a:noFill/>
            </a:ln>
            <a:effectLst/>
          </c:spPr>
          <c:invertIfNegative val="0"/>
          <c:dLbls>
            <c:dLbl>
              <c:idx val="0"/>
              <c:layout>
                <c:manualLayout>
                  <c:x val="-2.020846731431745E-17"/>
                  <c:y val="-3.353360346513904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7B-492E-A1FD-2E9CB50F2B9A}"/>
                </c:ext>
              </c:extLst>
            </c:dLbl>
            <c:dLbl>
              <c:idx val="6"/>
              <c:layout>
                <c:manualLayout>
                  <c:x val="0"/>
                  <c:y val="-5.030040519770853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E7B-492E-A1FD-2E9CB50F2B9A}"/>
                </c:ext>
              </c:extLst>
            </c:dLbl>
            <c:dLbl>
              <c:idx val="7"/>
              <c:layout>
                <c:manualLayout>
                  <c:x val="-8.0833869257269799E-17"/>
                  <c:y val="-6.427273997484979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E7B-492E-A1FD-2E9CB50F2B9A}"/>
                </c:ext>
              </c:extLst>
            </c:dLbl>
            <c:dLbl>
              <c:idx val="8"/>
              <c:layout>
                <c:manualLayout>
                  <c:x val="-2.2045855379189522E-3"/>
                  <c:y val="-6.706720693027808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E7B-492E-A1FD-2E9CB50F2B9A}"/>
                </c:ext>
              </c:extLst>
            </c:dLbl>
            <c:dLbl>
              <c:idx val="9"/>
              <c:layout>
                <c:manualLayout>
                  <c:x val="4.4091710758375809E-3"/>
                  <c:y val="-6.706720693027805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E7B-492E-A1FD-2E9CB50F2B9A}"/>
                </c:ext>
              </c:extLst>
            </c:dLbl>
            <c:dLbl>
              <c:idx val="10"/>
              <c:layout>
                <c:manualLayout>
                  <c:x val="0"/>
                  <c:y val="-7.54506077965628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E7B-492E-A1FD-2E9CB50F2B9A}"/>
                </c:ext>
              </c:extLst>
            </c:dLbl>
            <c:dLbl>
              <c:idx val="11"/>
              <c:layout>
                <c:manualLayout>
                  <c:x val="4.4091710758377423E-3"/>
                  <c:y val="-6.147827301942154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E7B-492E-A1FD-2E9CB50F2B9A}"/>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t-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Leht1!$C$123:$N$123</c:f>
              <c:strCache>
                <c:ptCount val="12"/>
                <c:pt idx="0">
                  <c:v>Baastase 2021</c:v>
                </c:pt>
                <c:pt idx="1">
                  <c:v>2025</c:v>
                </c:pt>
                <c:pt idx="2">
                  <c:v>2026</c:v>
                </c:pt>
                <c:pt idx="3">
                  <c:v>2027</c:v>
                </c:pt>
                <c:pt idx="4">
                  <c:v>2028</c:v>
                </c:pt>
                <c:pt idx="5">
                  <c:v>2029</c:v>
                </c:pt>
                <c:pt idx="6">
                  <c:v>2030</c:v>
                </c:pt>
                <c:pt idx="7">
                  <c:v>2031</c:v>
                </c:pt>
                <c:pt idx="8">
                  <c:v>2032</c:v>
                </c:pt>
                <c:pt idx="9">
                  <c:v>2033</c:v>
                </c:pt>
                <c:pt idx="10">
                  <c:v>2034</c:v>
                </c:pt>
                <c:pt idx="11">
                  <c:v>2035</c:v>
                </c:pt>
              </c:strCache>
            </c:strRef>
          </c:cat>
          <c:val>
            <c:numRef>
              <c:f>Leht1!$C$126:$N$126</c:f>
              <c:numCache>
                <c:formatCode>General</c:formatCode>
                <c:ptCount val="12"/>
                <c:pt idx="0" formatCode="#,##0">
                  <c:v>56.811660514186954</c:v>
                </c:pt>
                <c:pt idx="6" formatCode="0">
                  <c:v>55.732238964417405</c:v>
                </c:pt>
                <c:pt idx="7" formatCode="0">
                  <c:v>54.652817414647856</c:v>
                </c:pt>
                <c:pt idx="8" formatCode="0">
                  <c:v>53.573395864878307</c:v>
                </c:pt>
                <c:pt idx="9" formatCode="0">
                  <c:v>52.493974315108758</c:v>
                </c:pt>
                <c:pt idx="10" formatCode="0">
                  <c:v>51.414552765339209</c:v>
                </c:pt>
                <c:pt idx="11" formatCode="0">
                  <c:v>50.33513121556966</c:v>
                </c:pt>
              </c:numCache>
            </c:numRef>
          </c:val>
          <c:extLst>
            <c:ext xmlns:c16="http://schemas.microsoft.com/office/drawing/2014/chart" uri="{C3380CC4-5D6E-409C-BE32-E72D297353CC}">
              <c16:uniqueId val="{00000009-BE7B-492E-A1FD-2E9CB50F2B9A}"/>
            </c:ext>
          </c:extLst>
        </c:ser>
        <c:dLbls>
          <c:dLblPos val="ctr"/>
          <c:showLegendKey val="0"/>
          <c:showVal val="1"/>
          <c:showCatName val="0"/>
          <c:showSerName val="0"/>
          <c:showPercent val="0"/>
          <c:showBubbleSize val="0"/>
        </c:dLbls>
        <c:gapWidth val="150"/>
        <c:overlap val="100"/>
        <c:axId val="1030480399"/>
        <c:axId val="1030476559"/>
      </c:barChart>
      <c:catAx>
        <c:axId val="10304803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030476559"/>
        <c:crosses val="autoZero"/>
        <c:auto val="1"/>
        <c:lblAlgn val="ctr"/>
        <c:lblOffset val="100"/>
        <c:noMultiLvlLbl val="0"/>
      </c:catAx>
      <c:valAx>
        <c:axId val="103047655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0304803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5CE704-1F7E-47C7-9A27-035E72E5EEA9}" type="doc">
      <dgm:prSet loTypeId="urn:microsoft.com/office/officeart/2005/8/layout/lProcess3" loCatId="process" qsTypeId="urn:microsoft.com/office/officeart/2005/8/quickstyle/simple5" qsCatId="simple" csTypeId="urn:microsoft.com/office/officeart/2005/8/colors/colorful1" csCatId="colorful" phldr="1"/>
      <dgm:spPr/>
      <dgm:t>
        <a:bodyPr/>
        <a:lstStyle/>
        <a:p>
          <a:endParaRPr lang="et-EE"/>
        </a:p>
      </dgm:t>
    </dgm:pt>
    <dgm:pt modelId="{5006B0CB-B306-4774-A90F-8043B689E436}">
      <dgm:prSet phldrT="[Tekst]"/>
      <dgm:spPr>
        <a:xfrm>
          <a:off x="915293" y="14435"/>
          <a:ext cx="1558319" cy="623327"/>
        </a:xfrm>
        <a:prstGeom prst="chevron">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et-EE" b="1" dirty="0">
              <a:solidFill>
                <a:sysClr val="window" lastClr="FFFFFF"/>
              </a:solidFill>
              <a:latin typeface="Times New Roman"/>
              <a:ea typeface="+mn-ea"/>
              <a:cs typeface="+mn-cs"/>
            </a:rPr>
            <a:t>Kõik</a:t>
          </a:r>
          <a:r>
            <a:rPr lang="et-EE" dirty="0">
              <a:solidFill>
                <a:sysClr val="window" lastClr="FFFFFF"/>
              </a:solidFill>
              <a:latin typeface="Times New Roman"/>
              <a:ea typeface="+mn-ea"/>
              <a:cs typeface="+mn-cs"/>
            </a:rPr>
            <a:t> </a:t>
          </a:r>
          <a:r>
            <a:rPr lang="et-EE" b="1" dirty="0">
              <a:solidFill>
                <a:sysClr val="window" lastClr="FFFFFF"/>
              </a:solidFill>
              <a:latin typeface="Times New Roman"/>
              <a:ea typeface="+mn-ea"/>
              <a:cs typeface="+mn-cs"/>
            </a:rPr>
            <a:t>hooned</a:t>
          </a:r>
        </a:p>
      </dgm:t>
    </dgm:pt>
    <dgm:pt modelId="{F9D5BFB5-3138-449F-BDF0-DFEEE4351332}" type="parTrans" cxnId="{6F564DCA-C4EA-413B-9526-B4A021187A0C}">
      <dgm:prSet/>
      <dgm:spPr/>
      <dgm:t>
        <a:bodyPr/>
        <a:lstStyle/>
        <a:p>
          <a:endParaRPr lang="et-EE"/>
        </a:p>
      </dgm:t>
    </dgm:pt>
    <dgm:pt modelId="{38AE2034-F297-4298-A22F-0481729FC2FA}" type="sibTrans" cxnId="{6F564DCA-C4EA-413B-9526-B4A021187A0C}">
      <dgm:prSet/>
      <dgm:spPr/>
      <dgm:t>
        <a:bodyPr/>
        <a:lstStyle/>
        <a:p>
          <a:endParaRPr lang="et-EE"/>
        </a:p>
      </dgm:t>
    </dgm:pt>
    <dgm:pt modelId="{C0F87EC5-6564-4386-BB4A-1D2F4365FA45}">
      <dgm:prSet phldrT="[Tekst]"/>
      <dgm:spPr>
        <a:xfrm>
          <a:off x="2228821" y="53349"/>
          <a:ext cx="2335062" cy="517362"/>
        </a:xfrm>
        <a:prstGeom prst="chevron">
          <a:avLst/>
        </a:prstGeom>
        <a:solidFill>
          <a:srgbClr val="ED7D31">
            <a:tint val="40000"/>
            <a:alpha val="90000"/>
            <a:hueOff val="0"/>
            <a:satOff val="0"/>
            <a:lumOff val="0"/>
            <a:alphaOff val="0"/>
          </a:srgbClr>
        </a:solidFill>
        <a:ln w="6350" cap="flat" cmpd="sng" algn="ctr">
          <a:solidFill>
            <a:srgbClr val="ED7D31">
              <a:tint val="40000"/>
              <a:alpha val="90000"/>
              <a:hueOff val="0"/>
              <a:satOff val="0"/>
              <a:lumOff val="0"/>
              <a:alphaOff val="0"/>
            </a:srgbClr>
          </a:solidFill>
          <a:prstDash val="solid"/>
          <a:miter lim="800000"/>
        </a:ln>
        <a:effectLst/>
      </dgm:spPr>
      <dgm:t>
        <a:bodyPr/>
        <a:lstStyle/>
        <a:p>
          <a:pPr>
            <a:buNone/>
          </a:pPr>
          <a:r>
            <a:rPr lang="et-EE" dirty="0">
              <a:solidFill>
                <a:sysClr val="windowText" lastClr="000000">
                  <a:hueOff val="0"/>
                  <a:satOff val="0"/>
                  <a:lumOff val="0"/>
                  <a:alphaOff val="0"/>
                </a:sysClr>
              </a:solidFill>
              <a:latin typeface="Times New Roman"/>
              <a:ea typeface="+mn-ea"/>
              <a:cs typeface="+mn-cs"/>
            </a:rPr>
            <a:t>~12 037 hoonet</a:t>
          </a:r>
        </a:p>
        <a:p>
          <a:pPr>
            <a:buNone/>
          </a:pPr>
          <a:r>
            <a:rPr lang="et-EE" dirty="0">
              <a:solidFill>
                <a:sysClr val="windowText" lastClr="000000">
                  <a:hueOff val="0"/>
                  <a:satOff val="0"/>
                  <a:lumOff val="0"/>
                  <a:alphaOff val="0"/>
                </a:sysClr>
              </a:solidFill>
              <a:latin typeface="Times New Roman"/>
              <a:ea typeface="+mn-ea"/>
              <a:cs typeface="+mn-cs"/>
            </a:rPr>
            <a:t>~ 15 166 000 m</a:t>
          </a:r>
          <a:r>
            <a:rPr lang="et-EE" baseline="30000" dirty="0">
              <a:solidFill>
                <a:sysClr val="windowText" lastClr="000000">
                  <a:hueOff val="0"/>
                  <a:satOff val="0"/>
                  <a:lumOff val="0"/>
                  <a:alphaOff val="0"/>
                </a:sysClr>
              </a:solidFill>
              <a:latin typeface="Times New Roman"/>
              <a:ea typeface="+mn-ea"/>
              <a:cs typeface="+mn-cs"/>
            </a:rPr>
            <a:t>2</a:t>
          </a:r>
          <a:endParaRPr lang="et-EE" dirty="0">
            <a:solidFill>
              <a:sysClr val="windowText" lastClr="000000">
                <a:hueOff val="0"/>
                <a:satOff val="0"/>
                <a:lumOff val="0"/>
                <a:alphaOff val="0"/>
              </a:sysClr>
            </a:solidFill>
            <a:latin typeface="Times New Roman"/>
            <a:ea typeface="+mn-ea"/>
            <a:cs typeface="+mn-cs"/>
          </a:endParaRPr>
        </a:p>
      </dgm:t>
    </dgm:pt>
    <dgm:pt modelId="{E76EBFE9-4FB2-4220-8C36-D08A95536896}" type="parTrans" cxnId="{41F4316F-6BE6-4B10-AA77-FA84CF2AA43E}">
      <dgm:prSet/>
      <dgm:spPr/>
      <dgm:t>
        <a:bodyPr/>
        <a:lstStyle/>
        <a:p>
          <a:endParaRPr lang="et-EE"/>
        </a:p>
      </dgm:t>
    </dgm:pt>
    <dgm:pt modelId="{3C9306F1-BB69-4A2E-9AF0-E294B8758016}" type="sibTrans" cxnId="{41F4316F-6BE6-4B10-AA77-FA84CF2AA43E}">
      <dgm:prSet/>
      <dgm:spPr/>
      <dgm:t>
        <a:bodyPr/>
        <a:lstStyle/>
        <a:p>
          <a:endParaRPr lang="et-EE"/>
        </a:p>
      </dgm:t>
    </dgm:pt>
    <dgm:pt modelId="{202025E8-4716-40CC-9E22-2A28E7276CBD}">
      <dgm:prSet phldrT="[Tekst]"/>
      <dgm:spPr>
        <a:xfrm>
          <a:off x="873083" y="710960"/>
          <a:ext cx="1558319" cy="623327"/>
        </a:xfrm>
        <a:prstGeom prst="chevron">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et-EE" b="1" dirty="0">
              <a:solidFill>
                <a:sysClr val="window" lastClr="FFFFFF"/>
              </a:solidFill>
              <a:latin typeface="Times New Roman"/>
              <a:ea typeface="+mn-ea"/>
              <a:cs typeface="+mn-cs"/>
            </a:rPr>
            <a:t>Alla</a:t>
          </a:r>
          <a:r>
            <a:rPr lang="et-EE" dirty="0">
              <a:solidFill>
                <a:sysClr val="window" lastClr="FFFFFF"/>
              </a:solidFill>
              <a:latin typeface="Times New Roman"/>
              <a:ea typeface="+mn-ea"/>
              <a:cs typeface="+mn-cs"/>
            </a:rPr>
            <a:t> </a:t>
          </a:r>
          <a:r>
            <a:rPr lang="et-EE" b="1" dirty="0">
              <a:solidFill>
                <a:sysClr val="window" lastClr="FFFFFF"/>
              </a:solidFill>
              <a:latin typeface="Times New Roman"/>
              <a:ea typeface="+mn-ea"/>
              <a:cs typeface="+mn-cs"/>
            </a:rPr>
            <a:t>250</a:t>
          </a:r>
          <a:r>
            <a:rPr lang="et-EE" dirty="0">
              <a:solidFill>
                <a:sysClr val="window" lastClr="FFFFFF"/>
              </a:solidFill>
              <a:latin typeface="Times New Roman"/>
              <a:ea typeface="+mn-ea"/>
              <a:cs typeface="+mn-cs"/>
            </a:rPr>
            <a:t> </a:t>
          </a:r>
          <a:r>
            <a:rPr lang="et-EE" b="1" dirty="0">
              <a:solidFill>
                <a:sysClr val="window" lastClr="FFFFFF"/>
              </a:solidFill>
              <a:latin typeface="Times New Roman"/>
              <a:ea typeface="+mn-ea"/>
              <a:cs typeface="+mn-cs"/>
            </a:rPr>
            <a:t>m</a:t>
          </a:r>
          <a:r>
            <a:rPr lang="et-EE" b="1" baseline="30000" dirty="0">
              <a:solidFill>
                <a:sysClr val="window" lastClr="FFFFFF"/>
              </a:solidFill>
              <a:latin typeface="Times New Roman"/>
              <a:ea typeface="+mn-ea"/>
              <a:cs typeface="+mn-cs"/>
            </a:rPr>
            <a:t>2</a:t>
          </a:r>
          <a:r>
            <a:rPr lang="et-EE" dirty="0">
              <a:solidFill>
                <a:sysClr val="window" lastClr="FFFFFF"/>
              </a:solidFill>
              <a:latin typeface="Times New Roman"/>
              <a:ea typeface="+mn-ea"/>
              <a:cs typeface="+mn-cs"/>
            </a:rPr>
            <a:t> </a:t>
          </a:r>
          <a:r>
            <a:rPr lang="et-EE" b="1" dirty="0">
              <a:solidFill>
                <a:sysClr val="window" lastClr="FFFFFF"/>
              </a:solidFill>
              <a:latin typeface="Times New Roman"/>
              <a:ea typeface="+mn-ea"/>
              <a:cs typeface="+mn-cs"/>
            </a:rPr>
            <a:t>hooned</a:t>
          </a:r>
        </a:p>
      </dgm:t>
    </dgm:pt>
    <dgm:pt modelId="{432A9667-8FFC-4EA8-B324-2CE6D25A41F8}" type="parTrans" cxnId="{3903A910-C2AE-4EA0-ABB3-FD1560F30D51}">
      <dgm:prSet/>
      <dgm:spPr/>
      <dgm:t>
        <a:bodyPr/>
        <a:lstStyle/>
        <a:p>
          <a:endParaRPr lang="et-EE"/>
        </a:p>
      </dgm:t>
    </dgm:pt>
    <dgm:pt modelId="{04C327F6-2A13-4F77-8AFA-6C969CCD32DF}" type="sibTrans" cxnId="{3903A910-C2AE-4EA0-ABB3-FD1560F30D51}">
      <dgm:prSet/>
      <dgm:spPr/>
      <dgm:t>
        <a:bodyPr/>
        <a:lstStyle/>
        <a:p>
          <a:endParaRPr lang="et-EE"/>
        </a:p>
      </dgm:t>
    </dgm:pt>
    <dgm:pt modelId="{42F81AC6-FAA7-4297-B11E-5FE3A45E810A}">
      <dgm:prSet phldrT="[Tekst]"/>
      <dgm:spPr>
        <a:xfrm>
          <a:off x="2228821" y="763943"/>
          <a:ext cx="2335049" cy="517362"/>
        </a:xfrm>
        <a:prstGeom prst="chevron">
          <a:avLst/>
        </a:prstGeom>
        <a:solidFill>
          <a:srgbClr val="A5A5A5">
            <a:tint val="40000"/>
            <a:alpha val="90000"/>
            <a:hueOff val="0"/>
            <a:satOff val="0"/>
            <a:lumOff val="0"/>
            <a:alphaOff val="0"/>
          </a:srgbClr>
        </a:solidFill>
        <a:ln w="6350" cap="flat" cmpd="sng" algn="ctr">
          <a:solidFill>
            <a:srgbClr val="A5A5A5">
              <a:tint val="40000"/>
              <a:alpha val="90000"/>
              <a:hueOff val="0"/>
              <a:satOff val="0"/>
              <a:lumOff val="0"/>
              <a:alphaOff val="0"/>
            </a:srgbClr>
          </a:solidFill>
          <a:prstDash val="solid"/>
          <a:miter lim="800000"/>
        </a:ln>
        <a:effectLst/>
      </dgm:spPr>
      <dgm:t>
        <a:bodyPr/>
        <a:lstStyle/>
        <a:p>
          <a:pPr>
            <a:buNone/>
          </a:pPr>
          <a:r>
            <a:rPr lang="et-EE" dirty="0">
              <a:solidFill>
                <a:sysClr val="windowText" lastClr="000000">
                  <a:hueOff val="0"/>
                  <a:satOff val="0"/>
                  <a:lumOff val="0"/>
                  <a:alphaOff val="0"/>
                </a:sysClr>
              </a:solidFill>
              <a:latin typeface="Times New Roman"/>
              <a:ea typeface="+mn-ea"/>
              <a:cs typeface="+mn-cs"/>
            </a:rPr>
            <a:t> ~4913 hoonet</a:t>
          </a:r>
        </a:p>
        <a:p>
          <a:pPr>
            <a:buNone/>
          </a:pPr>
          <a:r>
            <a:rPr lang="et-EE" dirty="0">
              <a:solidFill>
                <a:sysClr val="windowText" lastClr="000000">
                  <a:hueOff val="0"/>
                  <a:satOff val="0"/>
                  <a:lumOff val="0"/>
                  <a:alphaOff val="0"/>
                </a:sysClr>
              </a:solidFill>
              <a:latin typeface="Times New Roman"/>
              <a:ea typeface="+mn-ea"/>
              <a:cs typeface="+mn-cs"/>
            </a:rPr>
            <a:t>~ 500 000 m</a:t>
          </a:r>
          <a:r>
            <a:rPr lang="et-EE" baseline="30000" dirty="0">
              <a:solidFill>
                <a:sysClr val="windowText" lastClr="000000">
                  <a:hueOff val="0"/>
                  <a:satOff val="0"/>
                  <a:lumOff val="0"/>
                  <a:alphaOff val="0"/>
                </a:sysClr>
              </a:solidFill>
              <a:latin typeface="Times New Roman"/>
              <a:ea typeface="+mn-ea"/>
              <a:cs typeface="+mn-cs"/>
            </a:rPr>
            <a:t>2</a:t>
          </a:r>
          <a:endParaRPr lang="et-EE" dirty="0">
            <a:solidFill>
              <a:sysClr val="windowText" lastClr="000000">
                <a:hueOff val="0"/>
                <a:satOff val="0"/>
                <a:lumOff val="0"/>
                <a:alphaOff val="0"/>
              </a:sysClr>
            </a:solidFill>
            <a:latin typeface="Times New Roman"/>
            <a:ea typeface="+mn-ea"/>
            <a:cs typeface="+mn-cs"/>
          </a:endParaRPr>
        </a:p>
      </dgm:t>
    </dgm:pt>
    <dgm:pt modelId="{61FD06AE-0366-4441-B2A5-2072F01F9ED6}" type="parTrans" cxnId="{B0F84891-EE96-4D3E-A9F7-7A05D6175432}">
      <dgm:prSet/>
      <dgm:spPr/>
      <dgm:t>
        <a:bodyPr/>
        <a:lstStyle/>
        <a:p>
          <a:endParaRPr lang="et-EE"/>
        </a:p>
      </dgm:t>
    </dgm:pt>
    <dgm:pt modelId="{D190C540-666A-4865-B0E6-75455EF50604}" type="sibTrans" cxnId="{B0F84891-EE96-4D3E-A9F7-7A05D6175432}">
      <dgm:prSet/>
      <dgm:spPr/>
      <dgm:t>
        <a:bodyPr/>
        <a:lstStyle/>
        <a:p>
          <a:endParaRPr lang="et-EE"/>
        </a:p>
      </dgm:t>
    </dgm:pt>
    <dgm:pt modelId="{250626F1-E46F-4D79-BE1A-1A901379B6AD}">
      <dgm:prSet phldrT="[Tekst]"/>
      <dgm:spPr>
        <a:xfrm>
          <a:off x="873083" y="1421554"/>
          <a:ext cx="1558319" cy="623327"/>
        </a:xfrm>
        <a:prstGeom prst="chevron">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et-EE" b="1" dirty="0">
              <a:solidFill>
                <a:sysClr val="window" lastClr="FFFFFF"/>
              </a:solidFill>
              <a:latin typeface="Times New Roman"/>
              <a:ea typeface="+mn-ea"/>
              <a:cs typeface="+mn-cs"/>
            </a:rPr>
            <a:t>Sisekliima</a:t>
          </a:r>
          <a:r>
            <a:rPr lang="et-EE" dirty="0">
              <a:solidFill>
                <a:sysClr val="window" lastClr="FFFFFF"/>
              </a:solidFill>
              <a:latin typeface="Times New Roman"/>
              <a:ea typeface="+mn-ea"/>
              <a:cs typeface="+mn-cs"/>
            </a:rPr>
            <a:t> </a:t>
          </a:r>
          <a:r>
            <a:rPr lang="et-EE" b="1" dirty="0">
              <a:solidFill>
                <a:sysClr val="window" lastClr="FFFFFF"/>
              </a:solidFill>
              <a:latin typeface="Times New Roman"/>
              <a:ea typeface="+mn-ea"/>
              <a:cs typeface="+mn-cs"/>
            </a:rPr>
            <a:t>nõudeta</a:t>
          </a:r>
        </a:p>
      </dgm:t>
    </dgm:pt>
    <dgm:pt modelId="{A117E3AE-EDA1-41E7-8B75-CACBF0E76FA6}" type="parTrans" cxnId="{6D772715-17F4-449B-9B6F-9668ACC68577}">
      <dgm:prSet/>
      <dgm:spPr/>
      <dgm:t>
        <a:bodyPr/>
        <a:lstStyle/>
        <a:p>
          <a:endParaRPr lang="et-EE"/>
        </a:p>
      </dgm:t>
    </dgm:pt>
    <dgm:pt modelId="{65B0D469-5DA4-4BAE-BA31-B709A59DBC1B}" type="sibTrans" cxnId="{6D772715-17F4-449B-9B6F-9668ACC68577}">
      <dgm:prSet/>
      <dgm:spPr/>
      <dgm:t>
        <a:bodyPr/>
        <a:lstStyle/>
        <a:p>
          <a:endParaRPr lang="et-EE"/>
        </a:p>
      </dgm:t>
    </dgm:pt>
    <dgm:pt modelId="{7D96A889-2662-406D-A673-99738E498DA2}">
      <dgm:prSet phldrT="[Tekst]"/>
      <dgm:spPr>
        <a:xfrm>
          <a:off x="2228821" y="1474537"/>
          <a:ext cx="2350880" cy="517362"/>
        </a:xfrm>
        <a:prstGeom prst="chevron">
          <a:avLst/>
        </a:prstGeom>
        <a:solidFill>
          <a:srgbClr val="FFC000">
            <a:tint val="40000"/>
            <a:alpha val="90000"/>
            <a:hueOff val="0"/>
            <a:satOff val="0"/>
            <a:lumOff val="0"/>
            <a:alphaOff val="0"/>
          </a:srgbClr>
        </a:solidFill>
        <a:ln w="6350" cap="flat" cmpd="sng" algn="ctr">
          <a:solidFill>
            <a:srgbClr val="FFC000">
              <a:tint val="40000"/>
              <a:alpha val="90000"/>
              <a:hueOff val="0"/>
              <a:satOff val="0"/>
              <a:lumOff val="0"/>
              <a:alphaOff val="0"/>
            </a:srgbClr>
          </a:solidFill>
          <a:prstDash val="solid"/>
          <a:miter lim="800000"/>
        </a:ln>
        <a:effectLst/>
      </dgm:spPr>
      <dgm:t>
        <a:bodyPr/>
        <a:lstStyle/>
        <a:p>
          <a:pPr>
            <a:buNone/>
          </a:pPr>
          <a:r>
            <a:rPr lang="et-EE" dirty="0">
              <a:solidFill>
                <a:sysClr val="windowText" lastClr="000000">
                  <a:hueOff val="0"/>
                  <a:satOff val="0"/>
                  <a:lumOff val="0"/>
                  <a:alphaOff val="0"/>
                </a:sysClr>
              </a:solidFill>
              <a:latin typeface="Times New Roman"/>
              <a:ea typeface="+mn-ea"/>
              <a:cs typeface="+mn-cs"/>
            </a:rPr>
            <a:t>~145 hoonet</a:t>
          </a:r>
        </a:p>
        <a:p>
          <a:pPr>
            <a:buNone/>
          </a:pPr>
          <a:r>
            <a:rPr lang="et-EE" dirty="0">
              <a:solidFill>
                <a:sysClr val="windowText" lastClr="000000">
                  <a:hueOff val="0"/>
                  <a:satOff val="0"/>
                  <a:lumOff val="0"/>
                  <a:alphaOff val="0"/>
                </a:sysClr>
              </a:solidFill>
              <a:latin typeface="Times New Roman"/>
              <a:ea typeface="+mn-ea"/>
              <a:cs typeface="+mn-cs"/>
            </a:rPr>
            <a:t>~  97 000 m</a:t>
          </a:r>
          <a:r>
            <a:rPr lang="et-EE" baseline="30000" dirty="0">
              <a:solidFill>
                <a:sysClr val="windowText" lastClr="000000">
                  <a:hueOff val="0"/>
                  <a:satOff val="0"/>
                  <a:lumOff val="0"/>
                  <a:alphaOff val="0"/>
                </a:sysClr>
              </a:solidFill>
              <a:latin typeface="Times New Roman"/>
              <a:ea typeface="+mn-ea"/>
              <a:cs typeface="+mn-cs"/>
            </a:rPr>
            <a:t>2</a:t>
          </a:r>
          <a:endParaRPr lang="et-EE" dirty="0">
            <a:solidFill>
              <a:sysClr val="windowText" lastClr="000000">
                <a:hueOff val="0"/>
                <a:satOff val="0"/>
                <a:lumOff val="0"/>
                <a:alphaOff val="0"/>
              </a:sysClr>
            </a:solidFill>
            <a:latin typeface="Times New Roman"/>
            <a:ea typeface="+mn-ea"/>
            <a:cs typeface="+mn-cs"/>
          </a:endParaRPr>
        </a:p>
      </dgm:t>
    </dgm:pt>
    <dgm:pt modelId="{0DB82B53-9F69-42CA-86A3-89716F5FC347}" type="parTrans" cxnId="{C3C5D2B7-D4D4-46A6-B916-E72CD4CCCE0D}">
      <dgm:prSet/>
      <dgm:spPr/>
      <dgm:t>
        <a:bodyPr/>
        <a:lstStyle/>
        <a:p>
          <a:endParaRPr lang="et-EE"/>
        </a:p>
      </dgm:t>
    </dgm:pt>
    <dgm:pt modelId="{E0DD4755-1DDC-47FF-8FBF-E8BB03B9E711}" type="sibTrans" cxnId="{C3C5D2B7-D4D4-46A6-B916-E72CD4CCCE0D}">
      <dgm:prSet/>
      <dgm:spPr/>
      <dgm:t>
        <a:bodyPr/>
        <a:lstStyle/>
        <a:p>
          <a:endParaRPr lang="et-EE"/>
        </a:p>
      </dgm:t>
    </dgm:pt>
    <dgm:pt modelId="{5BA0EA0D-B365-4773-9557-BBF8F030D6AD}">
      <dgm:prSet phldrT="[Tekst]"/>
      <dgm:spPr>
        <a:xfrm>
          <a:off x="873083" y="2132147"/>
          <a:ext cx="1558319" cy="623327"/>
        </a:xfrm>
        <a:prstGeom prst="chevron">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et-EE" b="0" dirty="0">
              <a:solidFill>
                <a:sysClr val="window" lastClr="FFFFFF"/>
              </a:solidFill>
              <a:latin typeface="Times New Roman"/>
              <a:ea typeface="+mn-ea"/>
              <a:cs typeface="+mn-cs"/>
            </a:rPr>
            <a:t>Korterelamud, mis ei ole100% avalik sektori asutuse omandis</a:t>
          </a:r>
        </a:p>
      </dgm:t>
    </dgm:pt>
    <dgm:pt modelId="{80413BE4-49E5-483F-BBA3-5CC191C51D9B}" type="parTrans" cxnId="{BD42724F-0F75-4760-BF03-08AFF1C04B96}">
      <dgm:prSet/>
      <dgm:spPr/>
      <dgm:t>
        <a:bodyPr/>
        <a:lstStyle/>
        <a:p>
          <a:endParaRPr lang="et-EE"/>
        </a:p>
      </dgm:t>
    </dgm:pt>
    <dgm:pt modelId="{C727AA73-6E48-4384-BE14-09B0965A600A}" type="sibTrans" cxnId="{BD42724F-0F75-4760-BF03-08AFF1C04B96}">
      <dgm:prSet/>
      <dgm:spPr/>
      <dgm:t>
        <a:bodyPr/>
        <a:lstStyle/>
        <a:p>
          <a:endParaRPr lang="et-EE"/>
        </a:p>
      </dgm:t>
    </dgm:pt>
    <dgm:pt modelId="{347ECD35-A3E4-4402-AFA4-9B1A480684F7}">
      <dgm:prSet phldrT="[Tekst]"/>
      <dgm:spPr>
        <a:xfrm>
          <a:off x="2228821" y="2185130"/>
          <a:ext cx="2461751" cy="517362"/>
        </a:xfrm>
        <a:prstGeom prst="chevron">
          <a:avLst/>
        </a:prstGeom>
        <a:solidFill>
          <a:srgbClr val="5B9BD5">
            <a:tint val="40000"/>
            <a:alpha val="90000"/>
            <a:hueOff val="0"/>
            <a:satOff val="0"/>
            <a:lumOff val="0"/>
            <a:alphaOff val="0"/>
          </a:srgbClr>
        </a:solidFill>
        <a:ln w="6350" cap="flat" cmpd="sng" algn="ctr">
          <a:solidFill>
            <a:srgbClr val="5B9BD5">
              <a:tint val="40000"/>
              <a:alpha val="90000"/>
              <a:hueOff val="0"/>
              <a:satOff val="0"/>
              <a:lumOff val="0"/>
              <a:alphaOff val="0"/>
            </a:srgbClr>
          </a:solidFill>
          <a:prstDash val="solid"/>
          <a:miter lim="800000"/>
        </a:ln>
        <a:effectLst/>
      </dgm:spPr>
      <dgm:t>
        <a:bodyPr/>
        <a:lstStyle/>
        <a:p>
          <a:pPr>
            <a:buNone/>
          </a:pPr>
          <a:r>
            <a:rPr lang="et-EE" dirty="0">
              <a:solidFill>
                <a:sysClr val="windowText" lastClr="000000">
                  <a:hueOff val="0"/>
                  <a:satOff val="0"/>
                  <a:lumOff val="0"/>
                  <a:alphaOff val="0"/>
                </a:sysClr>
              </a:solidFill>
              <a:latin typeface="Times New Roman"/>
              <a:ea typeface="+mn-ea"/>
              <a:cs typeface="+mn-cs"/>
            </a:rPr>
            <a:t>~2309 hoonet</a:t>
          </a:r>
        </a:p>
        <a:p>
          <a:pPr>
            <a:buNone/>
          </a:pPr>
          <a:r>
            <a:rPr lang="et-EE" dirty="0">
              <a:solidFill>
                <a:sysClr val="windowText" lastClr="000000">
                  <a:hueOff val="0"/>
                  <a:satOff val="0"/>
                  <a:lumOff val="0"/>
                  <a:alphaOff val="0"/>
                </a:sysClr>
              </a:solidFill>
              <a:latin typeface="Times New Roman"/>
              <a:ea typeface="+mn-ea"/>
              <a:cs typeface="+mn-cs"/>
            </a:rPr>
            <a:t>~ 5 519 000 m</a:t>
          </a:r>
          <a:r>
            <a:rPr lang="et-EE" baseline="30000" dirty="0">
              <a:solidFill>
                <a:sysClr val="windowText" lastClr="000000">
                  <a:hueOff val="0"/>
                  <a:satOff val="0"/>
                  <a:lumOff val="0"/>
                  <a:alphaOff val="0"/>
                </a:sysClr>
              </a:solidFill>
              <a:latin typeface="Times New Roman"/>
              <a:ea typeface="+mn-ea"/>
              <a:cs typeface="+mn-cs"/>
            </a:rPr>
            <a:t>2</a:t>
          </a:r>
          <a:endParaRPr lang="et-EE" dirty="0">
            <a:solidFill>
              <a:sysClr val="windowText" lastClr="000000">
                <a:hueOff val="0"/>
                <a:satOff val="0"/>
                <a:lumOff val="0"/>
                <a:alphaOff val="0"/>
              </a:sysClr>
            </a:solidFill>
            <a:latin typeface="Times New Roman"/>
            <a:ea typeface="+mn-ea"/>
            <a:cs typeface="+mn-cs"/>
          </a:endParaRPr>
        </a:p>
      </dgm:t>
    </dgm:pt>
    <dgm:pt modelId="{D7634309-083D-4370-B9FA-BDF7038259B7}" type="parTrans" cxnId="{AE02756F-4CA2-4117-AFF9-D81AD2DDE16C}">
      <dgm:prSet/>
      <dgm:spPr/>
      <dgm:t>
        <a:bodyPr/>
        <a:lstStyle/>
        <a:p>
          <a:endParaRPr lang="et-EE"/>
        </a:p>
      </dgm:t>
    </dgm:pt>
    <dgm:pt modelId="{FA11720C-CCE5-4033-818E-BC21732DA60F}" type="sibTrans" cxnId="{AE02756F-4CA2-4117-AFF9-D81AD2DDE16C}">
      <dgm:prSet/>
      <dgm:spPr/>
      <dgm:t>
        <a:bodyPr/>
        <a:lstStyle/>
        <a:p>
          <a:endParaRPr lang="et-EE"/>
        </a:p>
      </dgm:t>
    </dgm:pt>
    <dgm:pt modelId="{96ADC514-159A-4A88-A56E-5BB8675D3270}">
      <dgm:prSet phldrT="[Tekst]"/>
      <dgm:spPr>
        <a:xfrm>
          <a:off x="873083" y="2842741"/>
          <a:ext cx="1558319" cy="623327"/>
        </a:xfrm>
        <a:prstGeom prst="chevron">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et-EE" b="1" dirty="0">
              <a:solidFill>
                <a:sysClr val="window" lastClr="FFFFFF"/>
              </a:solidFill>
              <a:latin typeface="Times New Roman"/>
              <a:ea typeface="+mn-ea"/>
              <a:cs typeface="+mn-cs"/>
            </a:rPr>
            <a:t>Avaliku sektori asutuste hooned A - C klass</a:t>
          </a:r>
        </a:p>
      </dgm:t>
    </dgm:pt>
    <dgm:pt modelId="{22A49275-73B6-4212-A89B-F614524E665C}" type="parTrans" cxnId="{EA67A6AD-86BC-41C1-BB5A-150ECFE96B8E}">
      <dgm:prSet/>
      <dgm:spPr/>
      <dgm:t>
        <a:bodyPr/>
        <a:lstStyle/>
        <a:p>
          <a:endParaRPr lang="et-EE"/>
        </a:p>
      </dgm:t>
    </dgm:pt>
    <dgm:pt modelId="{C60FE072-6CB9-4908-8B57-9819EA1CCAE8}" type="sibTrans" cxnId="{EA67A6AD-86BC-41C1-BB5A-150ECFE96B8E}">
      <dgm:prSet/>
      <dgm:spPr/>
      <dgm:t>
        <a:bodyPr/>
        <a:lstStyle/>
        <a:p>
          <a:endParaRPr lang="et-EE"/>
        </a:p>
      </dgm:t>
    </dgm:pt>
    <dgm:pt modelId="{9B5B02D1-8814-423C-A06D-0BF7BE46D722}">
      <dgm:prSet phldrT="[Tekst]"/>
      <dgm:spPr>
        <a:xfrm>
          <a:off x="2228821" y="2895724"/>
          <a:ext cx="2602512" cy="517362"/>
        </a:xfrm>
        <a:prstGeom prst="chevron">
          <a:avLst/>
        </a:prstGeom>
        <a:solidFill>
          <a:srgbClr val="70AD47">
            <a:tint val="40000"/>
            <a:alpha val="90000"/>
            <a:hueOff val="0"/>
            <a:satOff val="0"/>
            <a:lumOff val="0"/>
            <a:alphaOff val="0"/>
          </a:srgbClr>
        </a:solidFill>
        <a:ln w="6350" cap="flat" cmpd="sng" algn="ctr">
          <a:solidFill>
            <a:srgbClr val="70AD47">
              <a:tint val="40000"/>
              <a:alpha val="90000"/>
              <a:hueOff val="0"/>
              <a:satOff val="0"/>
              <a:lumOff val="0"/>
              <a:alphaOff val="0"/>
            </a:srgbClr>
          </a:solidFill>
          <a:prstDash val="solid"/>
          <a:miter lim="800000"/>
        </a:ln>
        <a:effectLst/>
      </dgm:spPr>
      <dgm:t>
        <a:bodyPr/>
        <a:lstStyle/>
        <a:p>
          <a:pPr>
            <a:buNone/>
          </a:pPr>
          <a:r>
            <a:rPr lang="et-EE" b="0" dirty="0">
              <a:solidFill>
                <a:sysClr val="windowText" lastClr="000000">
                  <a:hueOff val="0"/>
                  <a:satOff val="0"/>
                  <a:lumOff val="0"/>
                  <a:alphaOff val="0"/>
                </a:sysClr>
              </a:solidFill>
              <a:latin typeface="Times New Roman"/>
              <a:ea typeface="+mn-ea"/>
              <a:cs typeface="+mn-cs"/>
            </a:rPr>
            <a:t>~963 hoonet</a:t>
          </a:r>
        </a:p>
        <a:p>
          <a:pPr>
            <a:buNone/>
          </a:pPr>
          <a:r>
            <a:rPr lang="et-EE" b="0" dirty="0">
              <a:solidFill>
                <a:sysClr val="windowText" lastClr="000000">
                  <a:hueOff val="0"/>
                  <a:satOff val="0"/>
                  <a:lumOff val="0"/>
                  <a:alphaOff val="0"/>
                </a:sysClr>
              </a:solidFill>
              <a:latin typeface="Times New Roman"/>
              <a:ea typeface="+mn-ea"/>
              <a:cs typeface="+mn-cs"/>
            </a:rPr>
            <a:t>~ 2 500 000 m</a:t>
          </a:r>
          <a:r>
            <a:rPr lang="et-EE" b="0" baseline="30000" dirty="0">
              <a:solidFill>
                <a:sysClr val="windowText" lastClr="000000">
                  <a:hueOff val="0"/>
                  <a:satOff val="0"/>
                  <a:lumOff val="0"/>
                  <a:alphaOff val="0"/>
                </a:sysClr>
              </a:solidFill>
              <a:latin typeface="Times New Roman"/>
              <a:ea typeface="+mn-ea"/>
              <a:cs typeface="+mn-cs"/>
            </a:rPr>
            <a:t>2</a:t>
          </a:r>
          <a:r>
            <a:rPr lang="et-EE" b="0" dirty="0">
              <a:solidFill>
                <a:sysClr val="windowText" lastClr="000000">
                  <a:hueOff val="0"/>
                  <a:satOff val="0"/>
                  <a:lumOff val="0"/>
                  <a:alphaOff val="0"/>
                </a:sysClr>
              </a:solidFill>
              <a:latin typeface="Times New Roman"/>
              <a:ea typeface="+mn-ea"/>
              <a:cs typeface="+mn-cs"/>
            </a:rPr>
            <a:t> </a:t>
          </a:r>
        </a:p>
      </dgm:t>
    </dgm:pt>
    <dgm:pt modelId="{3783DAF5-35C8-4363-9025-27709A5D4577}" type="parTrans" cxnId="{1AE77F26-5978-49C9-A57F-C0A6350EF1EE}">
      <dgm:prSet/>
      <dgm:spPr/>
      <dgm:t>
        <a:bodyPr/>
        <a:lstStyle/>
        <a:p>
          <a:endParaRPr lang="et-EE"/>
        </a:p>
      </dgm:t>
    </dgm:pt>
    <dgm:pt modelId="{E351CFF9-88FA-4FA9-9ADA-B08611A5B97B}" type="sibTrans" cxnId="{1AE77F26-5978-49C9-A57F-C0A6350EF1EE}">
      <dgm:prSet/>
      <dgm:spPr/>
      <dgm:t>
        <a:bodyPr/>
        <a:lstStyle/>
        <a:p>
          <a:endParaRPr lang="et-EE"/>
        </a:p>
      </dgm:t>
    </dgm:pt>
    <dgm:pt modelId="{020893DF-7523-4DE1-B04B-DC18523EB9EF}">
      <dgm:prSet phldrT="[Tekst]"/>
      <dgm:spPr>
        <a:xfrm>
          <a:off x="873083" y="3553335"/>
          <a:ext cx="1558319" cy="623327"/>
        </a:xfrm>
        <a:prstGeom prst="chevron">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et-EE" b="1" dirty="0">
              <a:solidFill>
                <a:sysClr val="window" lastClr="FFFFFF"/>
              </a:solidFill>
              <a:latin typeface="Times New Roman"/>
              <a:ea typeface="+mn-ea"/>
              <a:cs typeface="+mn-cs"/>
            </a:rPr>
            <a:t>Baastase</a:t>
          </a:r>
        </a:p>
      </dgm:t>
    </dgm:pt>
    <dgm:pt modelId="{4A84E390-11AF-4EBF-B05C-BCA324E43341}" type="parTrans" cxnId="{5C64BB10-A012-42EA-B205-CAF43438F69B}">
      <dgm:prSet/>
      <dgm:spPr/>
      <dgm:t>
        <a:bodyPr/>
        <a:lstStyle/>
        <a:p>
          <a:endParaRPr lang="et-EE"/>
        </a:p>
      </dgm:t>
    </dgm:pt>
    <dgm:pt modelId="{5139D4AA-06DA-424C-B211-485465AF1097}" type="sibTrans" cxnId="{5C64BB10-A012-42EA-B205-CAF43438F69B}">
      <dgm:prSet/>
      <dgm:spPr/>
      <dgm:t>
        <a:bodyPr/>
        <a:lstStyle/>
        <a:p>
          <a:endParaRPr lang="et-EE"/>
        </a:p>
      </dgm:t>
    </dgm:pt>
    <dgm:pt modelId="{07D49602-0490-45BC-90FB-493F68ADDA12}">
      <dgm:prSet phldrT="[Tekst]"/>
      <dgm:spPr>
        <a:xfrm>
          <a:off x="2228821" y="3606318"/>
          <a:ext cx="2658814" cy="517362"/>
        </a:xfrm>
        <a:prstGeom prst="chevron">
          <a:avLst/>
        </a:prstGeom>
        <a:solidFill>
          <a:srgbClr val="ED7D31">
            <a:tint val="40000"/>
            <a:alpha val="90000"/>
            <a:hueOff val="0"/>
            <a:satOff val="0"/>
            <a:lumOff val="0"/>
            <a:alphaOff val="0"/>
          </a:srgbClr>
        </a:solidFill>
        <a:ln w="6350" cap="flat" cmpd="sng" algn="ctr">
          <a:solidFill>
            <a:srgbClr val="ED7D31">
              <a:tint val="40000"/>
              <a:alpha val="90000"/>
              <a:hueOff val="0"/>
              <a:satOff val="0"/>
              <a:lumOff val="0"/>
              <a:alphaOff val="0"/>
            </a:srgbClr>
          </a:solidFill>
          <a:prstDash val="solid"/>
          <a:miter lim="800000"/>
        </a:ln>
        <a:effectLst/>
      </dgm:spPr>
      <dgm:t>
        <a:bodyPr/>
        <a:lstStyle/>
        <a:p>
          <a:pPr>
            <a:buNone/>
          </a:pPr>
          <a:r>
            <a:rPr lang="et-EE" b="0" dirty="0">
              <a:solidFill>
                <a:sysClr val="windowText" lastClr="000000">
                  <a:hueOff val="0"/>
                  <a:satOff val="0"/>
                  <a:lumOff val="0"/>
                  <a:alphaOff val="0"/>
                </a:sysClr>
              </a:solidFill>
              <a:latin typeface="Times New Roman"/>
              <a:ea typeface="+mn-ea"/>
              <a:cs typeface="+mn-cs"/>
            </a:rPr>
            <a:t>~3759 hoonet</a:t>
          </a:r>
        </a:p>
        <a:p>
          <a:pPr>
            <a:buNone/>
          </a:pPr>
          <a:r>
            <a:rPr lang="et-EE" b="0" dirty="0">
              <a:solidFill>
                <a:sysClr val="windowText" lastClr="000000">
                  <a:hueOff val="0"/>
                  <a:satOff val="0"/>
                  <a:lumOff val="0"/>
                  <a:alphaOff val="0"/>
                </a:sysClr>
              </a:solidFill>
              <a:latin typeface="Times New Roman"/>
              <a:ea typeface="+mn-ea"/>
              <a:cs typeface="+mn-cs"/>
            </a:rPr>
            <a:t>~ 6 550 000 m</a:t>
          </a:r>
          <a:r>
            <a:rPr lang="et-EE" b="0" baseline="30000" dirty="0">
              <a:solidFill>
                <a:sysClr val="windowText" lastClr="000000">
                  <a:hueOff val="0"/>
                  <a:satOff val="0"/>
                  <a:lumOff val="0"/>
                  <a:alphaOff val="0"/>
                </a:sysClr>
              </a:solidFill>
              <a:latin typeface="Times New Roman"/>
              <a:ea typeface="+mn-ea"/>
              <a:cs typeface="+mn-cs"/>
            </a:rPr>
            <a:t>2</a:t>
          </a:r>
          <a:r>
            <a:rPr lang="et-EE" b="0" dirty="0">
              <a:solidFill>
                <a:sysClr val="windowText" lastClr="000000">
                  <a:hueOff val="0"/>
                  <a:satOff val="0"/>
                  <a:lumOff val="0"/>
                  <a:alphaOff val="0"/>
                </a:sysClr>
              </a:solidFill>
              <a:latin typeface="Times New Roman"/>
              <a:ea typeface="+mn-ea"/>
              <a:cs typeface="+mn-cs"/>
            </a:rPr>
            <a:t> </a:t>
          </a:r>
        </a:p>
      </dgm:t>
    </dgm:pt>
    <dgm:pt modelId="{34111D1F-E007-4D8C-B898-C6E6074C163E}" type="parTrans" cxnId="{F1C49782-3038-4924-8664-ADAB152DDE1E}">
      <dgm:prSet/>
      <dgm:spPr/>
      <dgm:t>
        <a:bodyPr/>
        <a:lstStyle/>
        <a:p>
          <a:endParaRPr lang="et-EE"/>
        </a:p>
      </dgm:t>
    </dgm:pt>
    <dgm:pt modelId="{1A0E7AEF-FD88-4F0A-909E-6654852271A0}" type="sibTrans" cxnId="{F1C49782-3038-4924-8664-ADAB152DDE1E}">
      <dgm:prSet/>
      <dgm:spPr/>
      <dgm:t>
        <a:bodyPr/>
        <a:lstStyle/>
        <a:p>
          <a:endParaRPr lang="et-EE"/>
        </a:p>
      </dgm:t>
    </dgm:pt>
    <dgm:pt modelId="{F4905726-6BB5-485E-B6BF-189E92363B50}" type="pres">
      <dgm:prSet presAssocID="{465CE704-1F7E-47C7-9A27-035E72E5EEA9}" presName="Name0" presStyleCnt="0">
        <dgm:presLayoutVars>
          <dgm:chPref val="3"/>
          <dgm:dir/>
          <dgm:animLvl val="lvl"/>
          <dgm:resizeHandles/>
        </dgm:presLayoutVars>
      </dgm:prSet>
      <dgm:spPr/>
    </dgm:pt>
    <dgm:pt modelId="{E93B87AF-B65C-4267-85DE-7C49803F331C}" type="pres">
      <dgm:prSet presAssocID="{5006B0CB-B306-4774-A90F-8043B689E436}" presName="horFlow" presStyleCnt="0"/>
      <dgm:spPr/>
    </dgm:pt>
    <dgm:pt modelId="{050E4C48-7AA4-4E32-8B52-7E56AC08D548}" type="pres">
      <dgm:prSet presAssocID="{5006B0CB-B306-4774-A90F-8043B689E436}" presName="bigChev" presStyleLbl="node1" presStyleIdx="0" presStyleCnt="6" custLinFactNeighborX="20836" custLinFactNeighborY="2257"/>
      <dgm:spPr/>
    </dgm:pt>
    <dgm:pt modelId="{2FAAB7EC-ACD3-41C4-92E4-BE5E32F7B92B}" type="pres">
      <dgm:prSet presAssocID="{E76EBFE9-4FB2-4220-8C36-D08A95536896}" presName="parTrans" presStyleCnt="0"/>
      <dgm:spPr/>
    </dgm:pt>
    <dgm:pt modelId="{D5A73356-13AB-4424-915A-0D719ECF44AB}" type="pres">
      <dgm:prSet presAssocID="{C0F87EC5-6564-4386-BB4A-1D2F4365FA45}" presName="node" presStyleLbl="alignAccFollowNode1" presStyleIdx="0" presStyleCnt="6" custScaleX="180536">
        <dgm:presLayoutVars>
          <dgm:bulletEnabled val="1"/>
        </dgm:presLayoutVars>
      </dgm:prSet>
      <dgm:spPr/>
    </dgm:pt>
    <dgm:pt modelId="{63FB7BC6-3546-4E96-A5B7-1FCA60E15B89}" type="pres">
      <dgm:prSet presAssocID="{5006B0CB-B306-4774-A90F-8043B689E436}" presName="vSp" presStyleCnt="0"/>
      <dgm:spPr/>
    </dgm:pt>
    <dgm:pt modelId="{D3BA832D-859A-473A-9998-F05518A16A3D}" type="pres">
      <dgm:prSet presAssocID="{202025E8-4716-40CC-9E22-2A28E7276CBD}" presName="horFlow" presStyleCnt="0"/>
      <dgm:spPr/>
    </dgm:pt>
    <dgm:pt modelId="{A14737F6-35AF-4D78-98A1-A3D223003CA3}" type="pres">
      <dgm:prSet presAssocID="{202025E8-4716-40CC-9E22-2A28E7276CBD}" presName="bigChev" presStyleLbl="node1" presStyleIdx="1" presStyleCnt="6"/>
      <dgm:spPr/>
    </dgm:pt>
    <dgm:pt modelId="{1FFF1A83-11FD-44EF-8D8D-4D1555DC2439}" type="pres">
      <dgm:prSet presAssocID="{61FD06AE-0366-4441-B2A5-2072F01F9ED6}" presName="parTrans" presStyleCnt="0"/>
      <dgm:spPr/>
    </dgm:pt>
    <dgm:pt modelId="{38B87640-2B6E-4BC2-9B5E-39541F75F5E9}" type="pres">
      <dgm:prSet presAssocID="{42F81AC6-FAA7-4297-B11E-5FE3A45E810A}" presName="node" presStyleLbl="alignAccFollowNode1" presStyleIdx="1" presStyleCnt="6" custScaleX="180535">
        <dgm:presLayoutVars>
          <dgm:bulletEnabled val="1"/>
        </dgm:presLayoutVars>
      </dgm:prSet>
      <dgm:spPr/>
    </dgm:pt>
    <dgm:pt modelId="{C7B4E7D3-90C9-4FC5-A64A-956B8351B532}" type="pres">
      <dgm:prSet presAssocID="{202025E8-4716-40CC-9E22-2A28E7276CBD}" presName="vSp" presStyleCnt="0"/>
      <dgm:spPr/>
    </dgm:pt>
    <dgm:pt modelId="{92924D1E-8E4C-499E-9A82-B7C1A38D7C9A}" type="pres">
      <dgm:prSet presAssocID="{250626F1-E46F-4D79-BE1A-1A901379B6AD}" presName="horFlow" presStyleCnt="0"/>
      <dgm:spPr/>
    </dgm:pt>
    <dgm:pt modelId="{A4321D91-DBA8-4076-845E-C3C31EEB3907}" type="pres">
      <dgm:prSet presAssocID="{250626F1-E46F-4D79-BE1A-1A901379B6AD}" presName="bigChev" presStyleLbl="node1" presStyleIdx="2" presStyleCnt="6"/>
      <dgm:spPr/>
    </dgm:pt>
    <dgm:pt modelId="{19FEA8CC-31BF-4136-AB21-D3391D012791}" type="pres">
      <dgm:prSet presAssocID="{0DB82B53-9F69-42CA-86A3-89716F5FC347}" presName="parTrans" presStyleCnt="0"/>
      <dgm:spPr/>
    </dgm:pt>
    <dgm:pt modelId="{17E8B268-81A9-46C6-91B1-6BBB14002590}" type="pres">
      <dgm:prSet presAssocID="{7D96A889-2662-406D-A673-99738E498DA2}" presName="node" presStyleLbl="alignAccFollowNode1" presStyleIdx="2" presStyleCnt="6" custScaleX="181759">
        <dgm:presLayoutVars>
          <dgm:bulletEnabled val="1"/>
        </dgm:presLayoutVars>
      </dgm:prSet>
      <dgm:spPr/>
    </dgm:pt>
    <dgm:pt modelId="{3BF7FFDF-4F8B-4715-8436-117072908337}" type="pres">
      <dgm:prSet presAssocID="{250626F1-E46F-4D79-BE1A-1A901379B6AD}" presName="vSp" presStyleCnt="0"/>
      <dgm:spPr/>
    </dgm:pt>
    <dgm:pt modelId="{D3C3C1FF-5F49-4DC2-8779-C7899D45C8BC}" type="pres">
      <dgm:prSet presAssocID="{5BA0EA0D-B365-4773-9557-BBF8F030D6AD}" presName="horFlow" presStyleCnt="0"/>
      <dgm:spPr/>
    </dgm:pt>
    <dgm:pt modelId="{EEBC0E08-54AC-4E43-9072-3579D3267316}" type="pres">
      <dgm:prSet presAssocID="{5BA0EA0D-B365-4773-9557-BBF8F030D6AD}" presName="bigChev" presStyleLbl="node1" presStyleIdx="3" presStyleCnt="6"/>
      <dgm:spPr/>
    </dgm:pt>
    <dgm:pt modelId="{0B7BA4C5-8D1F-40FB-9847-ECCB87B5ADB4}" type="pres">
      <dgm:prSet presAssocID="{D7634309-083D-4370-B9FA-BDF7038259B7}" presName="parTrans" presStyleCnt="0"/>
      <dgm:spPr/>
    </dgm:pt>
    <dgm:pt modelId="{82F3B19B-8628-4324-A57B-D7510FF6AECF}" type="pres">
      <dgm:prSet presAssocID="{347ECD35-A3E4-4402-AFA4-9B1A480684F7}" presName="node" presStyleLbl="alignAccFollowNode1" presStyleIdx="3" presStyleCnt="6" custScaleX="190331">
        <dgm:presLayoutVars>
          <dgm:bulletEnabled val="1"/>
        </dgm:presLayoutVars>
      </dgm:prSet>
      <dgm:spPr/>
    </dgm:pt>
    <dgm:pt modelId="{6A32D86C-4556-42FD-A650-315D208A6A74}" type="pres">
      <dgm:prSet presAssocID="{5BA0EA0D-B365-4773-9557-BBF8F030D6AD}" presName="vSp" presStyleCnt="0"/>
      <dgm:spPr/>
    </dgm:pt>
    <dgm:pt modelId="{5ACA688B-8682-40DA-9DA7-9FD4ECAB504C}" type="pres">
      <dgm:prSet presAssocID="{96ADC514-159A-4A88-A56E-5BB8675D3270}" presName="horFlow" presStyleCnt="0"/>
      <dgm:spPr/>
    </dgm:pt>
    <dgm:pt modelId="{5A1D66C9-352F-4A00-9575-19CA31E1EE6A}" type="pres">
      <dgm:prSet presAssocID="{96ADC514-159A-4A88-A56E-5BB8675D3270}" presName="bigChev" presStyleLbl="node1" presStyleIdx="4" presStyleCnt="6"/>
      <dgm:spPr/>
    </dgm:pt>
    <dgm:pt modelId="{E4F18464-C12F-4D14-8EC5-CED36ED530A8}" type="pres">
      <dgm:prSet presAssocID="{3783DAF5-35C8-4363-9025-27709A5D4577}" presName="parTrans" presStyleCnt="0"/>
      <dgm:spPr/>
    </dgm:pt>
    <dgm:pt modelId="{025EEC86-36EF-4538-9B9D-61F03CE1490C}" type="pres">
      <dgm:prSet presAssocID="{9B5B02D1-8814-423C-A06D-0BF7BE46D722}" presName="node" presStyleLbl="alignAccFollowNode1" presStyleIdx="4" presStyleCnt="6" custScaleX="201214">
        <dgm:presLayoutVars>
          <dgm:bulletEnabled val="1"/>
        </dgm:presLayoutVars>
      </dgm:prSet>
      <dgm:spPr/>
    </dgm:pt>
    <dgm:pt modelId="{8C82D03C-7745-422A-AFCC-3BCB16B850B2}" type="pres">
      <dgm:prSet presAssocID="{96ADC514-159A-4A88-A56E-5BB8675D3270}" presName="vSp" presStyleCnt="0"/>
      <dgm:spPr/>
    </dgm:pt>
    <dgm:pt modelId="{80A18744-B588-4CCC-AA2A-EBC4B5917962}" type="pres">
      <dgm:prSet presAssocID="{020893DF-7523-4DE1-B04B-DC18523EB9EF}" presName="horFlow" presStyleCnt="0"/>
      <dgm:spPr/>
    </dgm:pt>
    <dgm:pt modelId="{1D03094B-36FE-459E-8C5D-32407765B8DB}" type="pres">
      <dgm:prSet presAssocID="{020893DF-7523-4DE1-B04B-DC18523EB9EF}" presName="bigChev" presStyleLbl="node1" presStyleIdx="5" presStyleCnt="6"/>
      <dgm:spPr/>
    </dgm:pt>
    <dgm:pt modelId="{26560CB9-66C5-4040-9943-39A3B2CA61ED}" type="pres">
      <dgm:prSet presAssocID="{34111D1F-E007-4D8C-B898-C6E6074C163E}" presName="parTrans" presStyleCnt="0"/>
      <dgm:spPr/>
    </dgm:pt>
    <dgm:pt modelId="{3FEADA2E-1A23-47CB-8DDB-C0CA8DA661AF}" type="pres">
      <dgm:prSet presAssocID="{07D49602-0490-45BC-90FB-493F68ADDA12}" presName="node" presStyleLbl="alignAccFollowNode1" presStyleIdx="5" presStyleCnt="6" custScaleX="205567">
        <dgm:presLayoutVars>
          <dgm:bulletEnabled val="1"/>
        </dgm:presLayoutVars>
      </dgm:prSet>
      <dgm:spPr/>
    </dgm:pt>
  </dgm:ptLst>
  <dgm:cxnLst>
    <dgm:cxn modelId="{3903A910-C2AE-4EA0-ABB3-FD1560F30D51}" srcId="{465CE704-1F7E-47C7-9A27-035E72E5EEA9}" destId="{202025E8-4716-40CC-9E22-2A28E7276CBD}" srcOrd="1" destOrd="0" parTransId="{432A9667-8FFC-4EA8-B324-2CE6D25A41F8}" sibTransId="{04C327F6-2A13-4F77-8AFA-6C969CCD32DF}"/>
    <dgm:cxn modelId="{5C64BB10-A012-42EA-B205-CAF43438F69B}" srcId="{465CE704-1F7E-47C7-9A27-035E72E5EEA9}" destId="{020893DF-7523-4DE1-B04B-DC18523EB9EF}" srcOrd="5" destOrd="0" parTransId="{4A84E390-11AF-4EBF-B05C-BCA324E43341}" sibTransId="{5139D4AA-06DA-424C-B211-485465AF1097}"/>
    <dgm:cxn modelId="{B1551C13-8CBC-4A50-92FF-9748444250E0}" type="presOf" srcId="{020893DF-7523-4DE1-B04B-DC18523EB9EF}" destId="{1D03094B-36FE-459E-8C5D-32407765B8DB}" srcOrd="0" destOrd="0" presId="urn:microsoft.com/office/officeart/2005/8/layout/lProcess3"/>
    <dgm:cxn modelId="{6D772715-17F4-449B-9B6F-9668ACC68577}" srcId="{465CE704-1F7E-47C7-9A27-035E72E5EEA9}" destId="{250626F1-E46F-4D79-BE1A-1A901379B6AD}" srcOrd="2" destOrd="0" parTransId="{A117E3AE-EDA1-41E7-8B75-CACBF0E76FA6}" sibTransId="{65B0D469-5DA4-4BAE-BA31-B709A59DBC1B}"/>
    <dgm:cxn modelId="{C8FADD1F-DC24-4E24-83B3-139A13856508}" type="presOf" srcId="{96ADC514-159A-4A88-A56E-5BB8675D3270}" destId="{5A1D66C9-352F-4A00-9575-19CA31E1EE6A}" srcOrd="0" destOrd="0" presId="urn:microsoft.com/office/officeart/2005/8/layout/lProcess3"/>
    <dgm:cxn modelId="{1AE77F26-5978-49C9-A57F-C0A6350EF1EE}" srcId="{96ADC514-159A-4A88-A56E-5BB8675D3270}" destId="{9B5B02D1-8814-423C-A06D-0BF7BE46D722}" srcOrd="0" destOrd="0" parTransId="{3783DAF5-35C8-4363-9025-27709A5D4577}" sibTransId="{E351CFF9-88FA-4FA9-9ADA-B08611A5B97B}"/>
    <dgm:cxn modelId="{996D4428-8068-4094-A405-4FB7C4E3565C}" type="presOf" srcId="{250626F1-E46F-4D79-BE1A-1A901379B6AD}" destId="{A4321D91-DBA8-4076-845E-C3C31EEB3907}" srcOrd="0" destOrd="0" presId="urn:microsoft.com/office/officeart/2005/8/layout/lProcess3"/>
    <dgm:cxn modelId="{0AAB622D-4C47-485A-80B7-41DC7329E04D}" type="presOf" srcId="{7D96A889-2662-406D-A673-99738E498DA2}" destId="{17E8B268-81A9-46C6-91B1-6BBB14002590}" srcOrd="0" destOrd="0" presId="urn:microsoft.com/office/officeart/2005/8/layout/lProcess3"/>
    <dgm:cxn modelId="{0201892E-7A72-4A39-BED3-66249E529464}" type="presOf" srcId="{42F81AC6-FAA7-4297-B11E-5FE3A45E810A}" destId="{38B87640-2B6E-4BC2-9B5E-39541F75F5E9}" srcOrd="0" destOrd="0" presId="urn:microsoft.com/office/officeart/2005/8/layout/lProcess3"/>
    <dgm:cxn modelId="{E642214A-A854-473D-BBBC-AD3C19194BC5}" type="presOf" srcId="{347ECD35-A3E4-4402-AFA4-9B1A480684F7}" destId="{82F3B19B-8628-4324-A57B-D7510FF6AECF}" srcOrd="0" destOrd="0" presId="urn:microsoft.com/office/officeart/2005/8/layout/lProcess3"/>
    <dgm:cxn modelId="{41F4316F-6BE6-4B10-AA77-FA84CF2AA43E}" srcId="{5006B0CB-B306-4774-A90F-8043B689E436}" destId="{C0F87EC5-6564-4386-BB4A-1D2F4365FA45}" srcOrd="0" destOrd="0" parTransId="{E76EBFE9-4FB2-4220-8C36-D08A95536896}" sibTransId="{3C9306F1-BB69-4A2E-9AF0-E294B8758016}"/>
    <dgm:cxn modelId="{BD42724F-0F75-4760-BF03-08AFF1C04B96}" srcId="{465CE704-1F7E-47C7-9A27-035E72E5EEA9}" destId="{5BA0EA0D-B365-4773-9557-BBF8F030D6AD}" srcOrd="3" destOrd="0" parTransId="{80413BE4-49E5-483F-BBA3-5CC191C51D9B}" sibTransId="{C727AA73-6E48-4384-BE14-09B0965A600A}"/>
    <dgm:cxn modelId="{AE02756F-4CA2-4117-AFF9-D81AD2DDE16C}" srcId="{5BA0EA0D-B365-4773-9557-BBF8F030D6AD}" destId="{347ECD35-A3E4-4402-AFA4-9B1A480684F7}" srcOrd="0" destOrd="0" parTransId="{D7634309-083D-4370-B9FA-BDF7038259B7}" sibTransId="{FA11720C-CCE5-4033-818E-BC21732DA60F}"/>
    <dgm:cxn modelId="{B6CD8978-87CF-4E38-809A-3266C063D7C1}" type="presOf" srcId="{07D49602-0490-45BC-90FB-493F68ADDA12}" destId="{3FEADA2E-1A23-47CB-8DDB-C0CA8DA661AF}" srcOrd="0" destOrd="0" presId="urn:microsoft.com/office/officeart/2005/8/layout/lProcess3"/>
    <dgm:cxn modelId="{F1C49782-3038-4924-8664-ADAB152DDE1E}" srcId="{020893DF-7523-4DE1-B04B-DC18523EB9EF}" destId="{07D49602-0490-45BC-90FB-493F68ADDA12}" srcOrd="0" destOrd="0" parTransId="{34111D1F-E007-4D8C-B898-C6E6074C163E}" sibTransId="{1A0E7AEF-FD88-4F0A-909E-6654852271A0}"/>
    <dgm:cxn modelId="{B0F84891-EE96-4D3E-A9F7-7A05D6175432}" srcId="{202025E8-4716-40CC-9E22-2A28E7276CBD}" destId="{42F81AC6-FAA7-4297-B11E-5FE3A45E810A}" srcOrd="0" destOrd="0" parTransId="{61FD06AE-0366-4441-B2A5-2072F01F9ED6}" sibTransId="{D190C540-666A-4865-B0E6-75455EF50604}"/>
    <dgm:cxn modelId="{EA67A6AD-86BC-41C1-BB5A-150ECFE96B8E}" srcId="{465CE704-1F7E-47C7-9A27-035E72E5EEA9}" destId="{96ADC514-159A-4A88-A56E-5BB8675D3270}" srcOrd="4" destOrd="0" parTransId="{22A49275-73B6-4212-A89B-F614524E665C}" sibTransId="{C60FE072-6CB9-4908-8B57-9819EA1CCAE8}"/>
    <dgm:cxn modelId="{5FA044B3-D6D1-4277-8C88-F1C171CA69B4}" type="presOf" srcId="{9B5B02D1-8814-423C-A06D-0BF7BE46D722}" destId="{025EEC86-36EF-4538-9B9D-61F03CE1490C}" srcOrd="0" destOrd="0" presId="urn:microsoft.com/office/officeart/2005/8/layout/lProcess3"/>
    <dgm:cxn modelId="{C3C5D2B7-D4D4-46A6-B916-E72CD4CCCE0D}" srcId="{250626F1-E46F-4D79-BE1A-1A901379B6AD}" destId="{7D96A889-2662-406D-A673-99738E498DA2}" srcOrd="0" destOrd="0" parTransId="{0DB82B53-9F69-42CA-86A3-89716F5FC347}" sibTransId="{E0DD4755-1DDC-47FF-8FBF-E8BB03B9E711}"/>
    <dgm:cxn modelId="{6F564DCA-C4EA-413B-9526-B4A021187A0C}" srcId="{465CE704-1F7E-47C7-9A27-035E72E5EEA9}" destId="{5006B0CB-B306-4774-A90F-8043B689E436}" srcOrd="0" destOrd="0" parTransId="{F9D5BFB5-3138-449F-BDF0-DFEEE4351332}" sibTransId="{38AE2034-F297-4298-A22F-0481729FC2FA}"/>
    <dgm:cxn modelId="{F491FED1-76F5-465F-80F3-9B2BB91AF390}" type="presOf" srcId="{5BA0EA0D-B365-4773-9557-BBF8F030D6AD}" destId="{EEBC0E08-54AC-4E43-9072-3579D3267316}" srcOrd="0" destOrd="0" presId="urn:microsoft.com/office/officeart/2005/8/layout/lProcess3"/>
    <dgm:cxn modelId="{B90156DC-7A2A-4B21-BB39-85BF8333AE27}" type="presOf" srcId="{5006B0CB-B306-4774-A90F-8043B689E436}" destId="{050E4C48-7AA4-4E32-8B52-7E56AC08D548}" srcOrd="0" destOrd="0" presId="urn:microsoft.com/office/officeart/2005/8/layout/lProcess3"/>
    <dgm:cxn modelId="{DCA121E9-D063-4EFC-B05B-075C86F72BA3}" type="presOf" srcId="{C0F87EC5-6564-4386-BB4A-1D2F4365FA45}" destId="{D5A73356-13AB-4424-915A-0D719ECF44AB}" srcOrd="0" destOrd="0" presId="urn:microsoft.com/office/officeart/2005/8/layout/lProcess3"/>
    <dgm:cxn modelId="{8B0CD9EB-6CE9-4BA3-8DBF-84105B22ABCE}" type="presOf" srcId="{465CE704-1F7E-47C7-9A27-035E72E5EEA9}" destId="{F4905726-6BB5-485E-B6BF-189E92363B50}" srcOrd="0" destOrd="0" presId="urn:microsoft.com/office/officeart/2005/8/layout/lProcess3"/>
    <dgm:cxn modelId="{9BCAF0EE-296E-46E7-85D7-42B52318DEB3}" type="presOf" srcId="{202025E8-4716-40CC-9E22-2A28E7276CBD}" destId="{A14737F6-35AF-4D78-98A1-A3D223003CA3}" srcOrd="0" destOrd="0" presId="urn:microsoft.com/office/officeart/2005/8/layout/lProcess3"/>
    <dgm:cxn modelId="{252E67CB-B170-4F3C-8CC8-38E0F6E3CD4A}" type="presParOf" srcId="{F4905726-6BB5-485E-B6BF-189E92363B50}" destId="{E93B87AF-B65C-4267-85DE-7C49803F331C}" srcOrd="0" destOrd="0" presId="urn:microsoft.com/office/officeart/2005/8/layout/lProcess3"/>
    <dgm:cxn modelId="{DCF5CF50-887F-4266-BDCC-11A59319CB91}" type="presParOf" srcId="{E93B87AF-B65C-4267-85DE-7C49803F331C}" destId="{050E4C48-7AA4-4E32-8B52-7E56AC08D548}" srcOrd="0" destOrd="0" presId="urn:microsoft.com/office/officeart/2005/8/layout/lProcess3"/>
    <dgm:cxn modelId="{8BE9759B-9A0D-4EB5-A96E-F7A5B8896942}" type="presParOf" srcId="{E93B87AF-B65C-4267-85DE-7C49803F331C}" destId="{2FAAB7EC-ACD3-41C4-92E4-BE5E32F7B92B}" srcOrd="1" destOrd="0" presId="urn:microsoft.com/office/officeart/2005/8/layout/lProcess3"/>
    <dgm:cxn modelId="{04487505-C40E-4C99-9EAF-465F2E0EE826}" type="presParOf" srcId="{E93B87AF-B65C-4267-85DE-7C49803F331C}" destId="{D5A73356-13AB-4424-915A-0D719ECF44AB}" srcOrd="2" destOrd="0" presId="urn:microsoft.com/office/officeart/2005/8/layout/lProcess3"/>
    <dgm:cxn modelId="{DD08E7EB-3BEA-4DD6-960F-F3D4403A78C0}" type="presParOf" srcId="{F4905726-6BB5-485E-B6BF-189E92363B50}" destId="{63FB7BC6-3546-4E96-A5B7-1FCA60E15B89}" srcOrd="1" destOrd="0" presId="urn:microsoft.com/office/officeart/2005/8/layout/lProcess3"/>
    <dgm:cxn modelId="{6822E421-E5A8-4DFB-8B68-AE68868A9D26}" type="presParOf" srcId="{F4905726-6BB5-485E-B6BF-189E92363B50}" destId="{D3BA832D-859A-473A-9998-F05518A16A3D}" srcOrd="2" destOrd="0" presId="urn:microsoft.com/office/officeart/2005/8/layout/lProcess3"/>
    <dgm:cxn modelId="{2BB6823D-5899-453D-A3E7-C965857B6F1E}" type="presParOf" srcId="{D3BA832D-859A-473A-9998-F05518A16A3D}" destId="{A14737F6-35AF-4D78-98A1-A3D223003CA3}" srcOrd="0" destOrd="0" presId="urn:microsoft.com/office/officeart/2005/8/layout/lProcess3"/>
    <dgm:cxn modelId="{76F3FBE5-0071-4236-8400-3DBC7806B340}" type="presParOf" srcId="{D3BA832D-859A-473A-9998-F05518A16A3D}" destId="{1FFF1A83-11FD-44EF-8D8D-4D1555DC2439}" srcOrd="1" destOrd="0" presId="urn:microsoft.com/office/officeart/2005/8/layout/lProcess3"/>
    <dgm:cxn modelId="{31B2EF7B-9114-4C4B-B695-03C0899E760E}" type="presParOf" srcId="{D3BA832D-859A-473A-9998-F05518A16A3D}" destId="{38B87640-2B6E-4BC2-9B5E-39541F75F5E9}" srcOrd="2" destOrd="0" presId="urn:microsoft.com/office/officeart/2005/8/layout/lProcess3"/>
    <dgm:cxn modelId="{C5BCB7C6-C8DE-490C-BE35-0F1886141D43}" type="presParOf" srcId="{F4905726-6BB5-485E-B6BF-189E92363B50}" destId="{C7B4E7D3-90C9-4FC5-A64A-956B8351B532}" srcOrd="3" destOrd="0" presId="urn:microsoft.com/office/officeart/2005/8/layout/lProcess3"/>
    <dgm:cxn modelId="{0A0AF1DF-50E8-4505-BF0D-2176252A91ED}" type="presParOf" srcId="{F4905726-6BB5-485E-B6BF-189E92363B50}" destId="{92924D1E-8E4C-499E-9A82-B7C1A38D7C9A}" srcOrd="4" destOrd="0" presId="urn:microsoft.com/office/officeart/2005/8/layout/lProcess3"/>
    <dgm:cxn modelId="{EFCEF9DC-FCD5-47CB-AF29-3C98D1E62373}" type="presParOf" srcId="{92924D1E-8E4C-499E-9A82-B7C1A38D7C9A}" destId="{A4321D91-DBA8-4076-845E-C3C31EEB3907}" srcOrd="0" destOrd="0" presId="urn:microsoft.com/office/officeart/2005/8/layout/lProcess3"/>
    <dgm:cxn modelId="{7169EDAD-3AF1-4E68-92F1-5D360940DF91}" type="presParOf" srcId="{92924D1E-8E4C-499E-9A82-B7C1A38D7C9A}" destId="{19FEA8CC-31BF-4136-AB21-D3391D012791}" srcOrd="1" destOrd="0" presId="urn:microsoft.com/office/officeart/2005/8/layout/lProcess3"/>
    <dgm:cxn modelId="{597F234F-F322-476E-8DFF-120069BBECD1}" type="presParOf" srcId="{92924D1E-8E4C-499E-9A82-B7C1A38D7C9A}" destId="{17E8B268-81A9-46C6-91B1-6BBB14002590}" srcOrd="2" destOrd="0" presId="urn:microsoft.com/office/officeart/2005/8/layout/lProcess3"/>
    <dgm:cxn modelId="{D5B507E5-B6CA-4495-8318-48D1B1FB6A8C}" type="presParOf" srcId="{F4905726-6BB5-485E-B6BF-189E92363B50}" destId="{3BF7FFDF-4F8B-4715-8436-117072908337}" srcOrd="5" destOrd="0" presId="urn:microsoft.com/office/officeart/2005/8/layout/lProcess3"/>
    <dgm:cxn modelId="{D1A23208-7378-4EAF-A790-04E89A34E1B6}" type="presParOf" srcId="{F4905726-6BB5-485E-B6BF-189E92363B50}" destId="{D3C3C1FF-5F49-4DC2-8779-C7899D45C8BC}" srcOrd="6" destOrd="0" presId="urn:microsoft.com/office/officeart/2005/8/layout/lProcess3"/>
    <dgm:cxn modelId="{2D6273BF-6819-4EA0-934E-47A6B6ABC7AE}" type="presParOf" srcId="{D3C3C1FF-5F49-4DC2-8779-C7899D45C8BC}" destId="{EEBC0E08-54AC-4E43-9072-3579D3267316}" srcOrd="0" destOrd="0" presId="urn:microsoft.com/office/officeart/2005/8/layout/lProcess3"/>
    <dgm:cxn modelId="{EA672276-16B2-4EA6-9548-C73EDBCEBD1F}" type="presParOf" srcId="{D3C3C1FF-5F49-4DC2-8779-C7899D45C8BC}" destId="{0B7BA4C5-8D1F-40FB-9847-ECCB87B5ADB4}" srcOrd="1" destOrd="0" presId="urn:microsoft.com/office/officeart/2005/8/layout/lProcess3"/>
    <dgm:cxn modelId="{64586B42-B696-433A-8877-E0E8A06F15EF}" type="presParOf" srcId="{D3C3C1FF-5F49-4DC2-8779-C7899D45C8BC}" destId="{82F3B19B-8628-4324-A57B-D7510FF6AECF}" srcOrd="2" destOrd="0" presId="urn:microsoft.com/office/officeart/2005/8/layout/lProcess3"/>
    <dgm:cxn modelId="{B1A38417-819C-4F1E-B716-77A7D60409D5}" type="presParOf" srcId="{F4905726-6BB5-485E-B6BF-189E92363B50}" destId="{6A32D86C-4556-42FD-A650-315D208A6A74}" srcOrd="7" destOrd="0" presId="urn:microsoft.com/office/officeart/2005/8/layout/lProcess3"/>
    <dgm:cxn modelId="{3744D292-8936-4868-972D-705BE3CC55E1}" type="presParOf" srcId="{F4905726-6BB5-485E-B6BF-189E92363B50}" destId="{5ACA688B-8682-40DA-9DA7-9FD4ECAB504C}" srcOrd="8" destOrd="0" presId="urn:microsoft.com/office/officeart/2005/8/layout/lProcess3"/>
    <dgm:cxn modelId="{1234FB26-7A19-4751-A81F-86FB087ACDCB}" type="presParOf" srcId="{5ACA688B-8682-40DA-9DA7-9FD4ECAB504C}" destId="{5A1D66C9-352F-4A00-9575-19CA31E1EE6A}" srcOrd="0" destOrd="0" presId="urn:microsoft.com/office/officeart/2005/8/layout/lProcess3"/>
    <dgm:cxn modelId="{A9C01FBF-5CD2-42CC-BCC2-2ED5AC51999A}" type="presParOf" srcId="{5ACA688B-8682-40DA-9DA7-9FD4ECAB504C}" destId="{E4F18464-C12F-4D14-8EC5-CED36ED530A8}" srcOrd="1" destOrd="0" presId="urn:microsoft.com/office/officeart/2005/8/layout/lProcess3"/>
    <dgm:cxn modelId="{50934441-4405-42C4-B3D1-B487B0FF67A2}" type="presParOf" srcId="{5ACA688B-8682-40DA-9DA7-9FD4ECAB504C}" destId="{025EEC86-36EF-4538-9B9D-61F03CE1490C}" srcOrd="2" destOrd="0" presId="urn:microsoft.com/office/officeart/2005/8/layout/lProcess3"/>
    <dgm:cxn modelId="{3C832F4A-C3CC-4B23-A3B4-BA8F5B2CC922}" type="presParOf" srcId="{F4905726-6BB5-485E-B6BF-189E92363B50}" destId="{8C82D03C-7745-422A-AFCC-3BCB16B850B2}" srcOrd="9" destOrd="0" presId="urn:microsoft.com/office/officeart/2005/8/layout/lProcess3"/>
    <dgm:cxn modelId="{AD220138-2201-49A2-B8ED-D132CC6F9F9E}" type="presParOf" srcId="{F4905726-6BB5-485E-B6BF-189E92363B50}" destId="{80A18744-B588-4CCC-AA2A-EBC4B5917962}" srcOrd="10" destOrd="0" presId="urn:microsoft.com/office/officeart/2005/8/layout/lProcess3"/>
    <dgm:cxn modelId="{46CC2E43-4B06-4DB4-AEC1-DA670E1EBBBB}" type="presParOf" srcId="{80A18744-B588-4CCC-AA2A-EBC4B5917962}" destId="{1D03094B-36FE-459E-8C5D-32407765B8DB}" srcOrd="0" destOrd="0" presId="urn:microsoft.com/office/officeart/2005/8/layout/lProcess3"/>
    <dgm:cxn modelId="{A1B26E10-1236-45D9-9F57-38F132322C37}" type="presParOf" srcId="{80A18744-B588-4CCC-AA2A-EBC4B5917962}" destId="{26560CB9-66C5-4040-9943-39A3B2CA61ED}" srcOrd="1" destOrd="0" presId="urn:microsoft.com/office/officeart/2005/8/layout/lProcess3"/>
    <dgm:cxn modelId="{35843EE6-98E1-4478-A878-6DBF11236F71}" type="presParOf" srcId="{80A18744-B588-4CCC-AA2A-EBC4B5917962}" destId="{3FEADA2E-1A23-47CB-8DDB-C0CA8DA661AF}" srcOrd="2" destOrd="0" presId="urn:microsoft.com/office/officeart/2005/8/layout/lProcess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0E4C48-7AA4-4E32-8B52-7E56AC08D548}">
      <dsp:nvSpPr>
        <dsp:cNvPr id="0" name=""/>
        <dsp:cNvSpPr/>
      </dsp:nvSpPr>
      <dsp:spPr>
        <a:xfrm>
          <a:off x="915293" y="14435"/>
          <a:ext cx="1558319" cy="623327"/>
        </a:xfrm>
        <a:prstGeom prst="chevron">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t-EE" sz="1100" b="1" kern="1200" dirty="0">
              <a:solidFill>
                <a:sysClr val="window" lastClr="FFFFFF"/>
              </a:solidFill>
              <a:latin typeface="Times New Roman"/>
              <a:ea typeface="+mn-ea"/>
              <a:cs typeface="+mn-cs"/>
            </a:rPr>
            <a:t>Kõik</a:t>
          </a:r>
          <a:r>
            <a:rPr lang="et-EE" sz="1100" kern="1200" dirty="0">
              <a:solidFill>
                <a:sysClr val="window" lastClr="FFFFFF"/>
              </a:solidFill>
              <a:latin typeface="Times New Roman"/>
              <a:ea typeface="+mn-ea"/>
              <a:cs typeface="+mn-cs"/>
            </a:rPr>
            <a:t> </a:t>
          </a:r>
          <a:r>
            <a:rPr lang="et-EE" sz="1100" b="1" kern="1200" dirty="0">
              <a:solidFill>
                <a:sysClr val="window" lastClr="FFFFFF"/>
              </a:solidFill>
              <a:latin typeface="Times New Roman"/>
              <a:ea typeface="+mn-ea"/>
              <a:cs typeface="+mn-cs"/>
            </a:rPr>
            <a:t>hooned</a:t>
          </a:r>
        </a:p>
      </dsp:txBody>
      <dsp:txXfrm>
        <a:off x="1226957" y="14435"/>
        <a:ext cx="934992" cy="623327"/>
      </dsp:txXfrm>
    </dsp:sp>
    <dsp:sp modelId="{D5A73356-13AB-4424-915A-0D719ECF44AB}">
      <dsp:nvSpPr>
        <dsp:cNvPr id="0" name=""/>
        <dsp:cNvSpPr/>
      </dsp:nvSpPr>
      <dsp:spPr>
        <a:xfrm>
          <a:off x="2228821" y="53349"/>
          <a:ext cx="2335062" cy="517362"/>
        </a:xfrm>
        <a:prstGeom prst="chevron">
          <a:avLst/>
        </a:prstGeom>
        <a:solidFill>
          <a:srgbClr val="ED7D31">
            <a:tint val="40000"/>
            <a:alpha val="90000"/>
            <a:hueOff val="0"/>
            <a:satOff val="0"/>
            <a:lumOff val="0"/>
            <a:alphaOff val="0"/>
          </a:srgbClr>
        </a:solidFill>
        <a:ln w="6350" cap="flat" cmpd="sng" algn="ctr">
          <a:solidFill>
            <a:srgbClr val="ED7D31">
              <a:tint val="40000"/>
              <a:alpha val="90000"/>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9050" tIns="9525" rIns="0" bIns="9525" numCol="1" spcCol="1270" anchor="ctr" anchorCtr="0">
          <a:noAutofit/>
        </a:bodyPr>
        <a:lstStyle/>
        <a:p>
          <a:pPr marL="0" lvl="0" indent="0" algn="ctr" defTabSz="666750">
            <a:lnSpc>
              <a:spcPct val="90000"/>
            </a:lnSpc>
            <a:spcBef>
              <a:spcPct val="0"/>
            </a:spcBef>
            <a:spcAft>
              <a:spcPct val="35000"/>
            </a:spcAft>
            <a:buNone/>
          </a:pPr>
          <a:r>
            <a:rPr lang="et-EE" sz="1500" kern="1200" dirty="0">
              <a:solidFill>
                <a:sysClr val="windowText" lastClr="000000">
                  <a:hueOff val="0"/>
                  <a:satOff val="0"/>
                  <a:lumOff val="0"/>
                  <a:alphaOff val="0"/>
                </a:sysClr>
              </a:solidFill>
              <a:latin typeface="Times New Roman"/>
              <a:ea typeface="+mn-ea"/>
              <a:cs typeface="+mn-cs"/>
            </a:rPr>
            <a:t>~12 037 hoonet</a:t>
          </a:r>
        </a:p>
        <a:p>
          <a:pPr marL="0" lvl="0" indent="0" algn="ctr" defTabSz="666750">
            <a:lnSpc>
              <a:spcPct val="90000"/>
            </a:lnSpc>
            <a:spcBef>
              <a:spcPct val="0"/>
            </a:spcBef>
            <a:spcAft>
              <a:spcPct val="35000"/>
            </a:spcAft>
            <a:buNone/>
          </a:pPr>
          <a:r>
            <a:rPr lang="et-EE" sz="1500" kern="1200" dirty="0">
              <a:solidFill>
                <a:sysClr val="windowText" lastClr="000000">
                  <a:hueOff val="0"/>
                  <a:satOff val="0"/>
                  <a:lumOff val="0"/>
                  <a:alphaOff val="0"/>
                </a:sysClr>
              </a:solidFill>
              <a:latin typeface="Times New Roman"/>
              <a:ea typeface="+mn-ea"/>
              <a:cs typeface="+mn-cs"/>
            </a:rPr>
            <a:t>~ 15 166 000 m</a:t>
          </a:r>
          <a:r>
            <a:rPr lang="et-EE" sz="1500" kern="1200" baseline="30000" dirty="0">
              <a:solidFill>
                <a:sysClr val="windowText" lastClr="000000">
                  <a:hueOff val="0"/>
                  <a:satOff val="0"/>
                  <a:lumOff val="0"/>
                  <a:alphaOff val="0"/>
                </a:sysClr>
              </a:solidFill>
              <a:latin typeface="Times New Roman"/>
              <a:ea typeface="+mn-ea"/>
              <a:cs typeface="+mn-cs"/>
            </a:rPr>
            <a:t>2</a:t>
          </a:r>
          <a:endParaRPr lang="et-EE" sz="1500" kern="1200" dirty="0">
            <a:solidFill>
              <a:sysClr val="windowText" lastClr="000000">
                <a:hueOff val="0"/>
                <a:satOff val="0"/>
                <a:lumOff val="0"/>
                <a:alphaOff val="0"/>
              </a:sysClr>
            </a:solidFill>
            <a:latin typeface="Times New Roman"/>
            <a:ea typeface="+mn-ea"/>
            <a:cs typeface="+mn-cs"/>
          </a:endParaRPr>
        </a:p>
      </dsp:txBody>
      <dsp:txXfrm>
        <a:off x="2487502" y="53349"/>
        <a:ext cx="1817700" cy="517362"/>
      </dsp:txXfrm>
    </dsp:sp>
    <dsp:sp modelId="{A14737F6-35AF-4D78-98A1-A3D223003CA3}">
      <dsp:nvSpPr>
        <dsp:cNvPr id="0" name=""/>
        <dsp:cNvSpPr/>
      </dsp:nvSpPr>
      <dsp:spPr>
        <a:xfrm>
          <a:off x="873083" y="710960"/>
          <a:ext cx="1558319" cy="623327"/>
        </a:xfrm>
        <a:prstGeom prst="chevron">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t-EE" sz="1100" b="1" kern="1200" dirty="0">
              <a:solidFill>
                <a:sysClr val="window" lastClr="FFFFFF"/>
              </a:solidFill>
              <a:latin typeface="Times New Roman"/>
              <a:ea typeface="+mn-ea"/>
              <a:cs typeface="+mn-cs"/>
            </a:rPr>
            <a:t>Alla</a:t>
          </a:r>
          <a:r>
            <a:rPr lang="et-EE" sz="1100" kern="1200" dirty="0">
              <a:solidFill>
                <a:sysClr val="window" lastClr="FFFFFF"/>
              </a:solidFill>
              <a:latin typeface="Times New Roman"/>
              <a:ea typeface="+mn-ea"/>
              <a:cs typeface="+mn-cs"/>
            </a:rPr>
            <a:t> </a:t>
          </a:r>
          <a:r>
            <a:rPr lang="et-EE" sz="1100" b="1" kern="1200" dirty="0">
              <a:solidFill>
                <a:sysClr val="window" lastClr="FFFFFF"/>
              </a:solidFill>
              <a:latin typeface="Times New Roman"/>
              <a:ea typeface="+mn-ea"/>
              <a:cs typeface="+mn-cs"/>
            </a:rPr>
            <a:t>250</a:t>
          </a:r>
          <a:r>
            <a:rPr lang="et-EE" sz="1100" kern="1200" dirty="0">
              <a:solidFill>
                <a:sysClr val="window" lastClr="FFFFFF"/>
              </a:solidFill>
              <a:latin typeface="Times New Roman"/>
              <a:ea typeface="+mn-ea"/>
              <a:cs typeface="+mn-cs"/>
            </a:rPr>
            <a:t> </a:t>
          </a:r>
          <a:r>
            <a:rPr lang="et-EE" sz="1100" b="1" kern="1200" dirty="0">
              <a:solidFill>
                <a:sysClr val="window" lastClr="FFFFFF"/>
              </a:solidFill>
              <a:latin typeface="Times New Roman"/>
              <a:ea typeface="+mn-ea"/>
              <a:cs typeface="+mn-cs"/>
            </a:rPr>
            <a:t>m</a:t>
          </a:r>
          <a:r>
            <a:rPr lang="et-EE" sz="1100" b="1" kern="1200" baseline="30000" dirty="0">
              <a:solidFill>
                <a:sysClr val="window" lastClr="FFFFFF"/>
              </a:solidFill>
              <a:latin typeface="Times New Roman"/>
              <a:ea typeface="+mn-ea"/>
              <a:cs typeface="+mn-cs"/>
            </a:rPr>
            <a:t>2</a:t>
          </a:r>
          <a:r>
            <a:rPr lang="et-EE" sz="1100" kern="1200" dirty="0">
              <a:solidFill>
                <a:sysClr val="window" lastClr="FFFFFF"/>
              </a:solidFill>
              <a:latin typeface="Times New Roman"/>
              <a:ea typeface="+mn-ea"/>
              <a:cs typeface="+mn-cs"/>
            </a:rPr>
            <a:t> </a:t>
          </a:r>
          <a:r>
            <a:rPr lang="et-EE" sz="1100" b="1" kern="1200" dirty="0">
              <a:solidFill>
                <a:sysClr val="window" lastClr="FFFFFF"/>
              </a:solidFill>
              <a:latin typeface="Times New Roman"/>
              <a:ea typeface="+mn-ea"/>
              <a:cs typeface="+mn-cs"/>
            </a:rPr>
            <a:t>hooned</a:t>
          </a:r>
        </a:p>
      </dsp:txBody>
      <dsp:txXfrm>
        <a:off x="1184747" y="710960"/>
        <a:ext cx="934992" cy="623327"/>
      </dsp:txXfrm>
    </dsp:sp>
    <dsp:sp modelId="{38B87640-2B6E-4BC2-9B5E-39541F75F5E9}">
      <dsp:nvSpPr>
        <dsp:cNvPr id="0" name=""/>
        <dsp:cNvSpPr/>
      </dsp:nvSpPr>
      <dsp:spPr>
        <a:xfrm>
          <a:off x="2228821" y="763943"/>
          <a:ext cx="2335049" cy="517362"/>
        </a:xfrm>
        <a:prstGeom prst="chevron">
          <a:avLst/>
        </a:prstGeom>
        <a:solidFill>
          <a:srgbClr val="A5A5A5">
            <a:tint val="40000"/>
            <a:alpha val="90000"/>
            <a:hueOff val="0"/>
            <a:satOff val="0"/>
            <a:lumOff val="0"/>
            <a:alphaOff val="0"/>
          </a:srgbClr>
        </a:solidFill>
        <a:ln w="6350" cap="flat" cmpd="sng" algn="ctr">
          <a:solidFill>
            <a:srgbClr val="A5A5A5">
              <a:tint val="40000"/>
              <a:alpha val="90000"/>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9050" tIns="9525" rIns="0" bIns="9525" numCol="1" spcCol="1270" anchor="ctr" anchorCtr="0">
          <a:noAutofit/>
        </a:bodyPr>
        <a:lstStyle/>
        <a:p>
          <a:pPr marL="0" lvl="0" indent="0" algn="ctr" defTabSz="666750">
            <a:lnSpc>
              <a:spcPct val="90000"/>
            </a:lnSpc>
            <a:spcBef>
              <a:spcPct val="0"/>
            </a:spcBef>
            <a:spcAft>
              <a:spcPct val="35000"/>
            </a:spcAft>
            <a:buNone/>
          </a:pPr>
          <a:r>
            <a:rPr lang="et-EE" sz="1500" kern="1200" dirty="0">
              <a:solidFill>
                <a:sysClr val="windowText" lastClr="000000">
                  <a:hueOff val="0"/>
                  <a:satOff val="0"/>
                  <a:lumOff val="0"/>
                  <a:alphaOff val="0"/>
                </a:sysClr>
              </a:solidFill>
              <a:latin typeface="Times New Roman"/>
              <a:ea typeface="+mn-ea"/>
              <a:cs typeface="+mn-cs"/>
            </a:rPr>
            <a:t> ~4913 hoonet</a:t>
          </a:r>
        </a:p>
        <a:p>
          <a:pPr marL="0" lvl="0" indent="0" algn="ctr" defTabSz="666750">
            <a:lnSpc>
              <a:spcPct val="90000"/>
            </a:lnSpc>
            <a:spcBef>
              <a:spcPct val="0"/>
            </a:spcBef>
            <a:spcAft>
              <a:spcPct val="35000"/>
            </a:spcAft>
            <a:buNone/>
          </a:pPr>
          <a:r>
            <a:rPr lang="et-EE" sz="1500" kern="1200" dirty="0">
              <a:solidFill>
                <a:sysClr val="windowText" lastClr="000000">
                  <a:hueOff val="0"/>
                  <a:satOff val="0"/>
                  <a:lumOff val="0"/>
                  <a:alphaOff val="0"/>
                </a:sysClr>
              </a:solidFill>
              <a:latin typeface="Times New Roman"/>
              <a:ea typeface="+mn-ea"/>
              <a:cs typeface="+mn-cs"/>
            </a:rPr>
            <a:t>~ 500 000 m</a:t>
          </a:r>
          <a:r>
            <a:rPr lang="et-EE" sz="1500" kern="1200" baseline="30000" dirty="0">
              <a:solidFill>
                <a:sysClr val="windowText" lastClr="000000">
                  <a:hueOff val="0"/>
                  <a:satOff val="0"/>
                  <a:lumOff val="0"/>
                  <a:alphaOff val="0"/>
                </a:sysClr>
              </a:solidFill>
              <a:latin typeface="Times New Roman"/>
              <a:ea typeface="+mn-ea"/>
              <a:cs typeface="+mn-cs"/>
            </a:rPr>
            <a:t>2</a:t>
          </a:r>
          <a:endParaRPr lang="et-EE" sz="1500" kern="1200" dirty="0">
            <a:solidFill>
              <a:sysClr val="windowText" lastClr="000000">
                <a:hueOff val="0"/>
                <a:satOff val="0"/>
                <a:lumOff val="0"/>
                <a:alphaOff val="0"/>
              </a:sysClr>
            </a:solidFill>
            <a:latin typeface="Times New Roman"/>
            <a:ea typeface="+mn-ea"/>
            <a:cs typeface="+mn-cs"/>
          </a:endParaRPr>
        </a:p>
      </dsp:txBody>
      <dsp:txXfrm>
        <a:off x="2487502" y="763943"/>
        <a:ext cx="1817687" cy="517362"/>
      </dsp:txXfrm>
    </dsp:sp>
    <dsp:sp modelId="{A4321D91-DBA8-4076-845E-C3C31EEB3907}">
      <dsp:nvSpPr>
        <dsp:cNvPr id="0" name=""/>
        <dsp:cNvSpPr/>
      </dsp:nvSpPr>
      <dsp:spPr>
        <a:xfrm>
          <a:off x="873083" y="1421554"/>
          <a:ext cx="1558319" cy="623327"/>
        </a:xfrm>
        <a:prstGeom prst="chevron">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t-EE" sz="1100" b="1" kern="1200" dirty="0">
              <a:solidFill>
                <a:sysClr val="window" lastClr="FFFFFF"/>
              </a:solidFill>
              <a:latin typeface="Times New Roman"/>
              <a:ea typeface="+mn-ea"/>
              <a:cs typeface="+mn-cs"/>
            </a:rPr>
            <a:t>Sisekliima</a:t>
          </a:r>
          <a:r>
            <a:rPr lang="et-EE" sz="1100" kern="1200" dirty="0">
              <a:solidFill>
                <a:sysClr val="window" lastClr="FFFFFF"/>
              </a:solidFill>
              <a:latin typeface="Times New Roman"/>
              <a:ea typeface="+mn-ea"/>
              <a:cs typeface="+mn-cs"/>
            </a:rPr>
            <a:t> </a:t>
          </a:r>
          <a:r>
            <a:rPr lang="et-EE" sz="1100" b="1" kern="1200" dirty="0">
              <a:solidFill>
                <a:sysClr val="window" lastClr="FFFFFF"/>
              </a:solidFill>
              <a:latin typeface="Times New Roman"/>
              <a:ea typeface="+mn-ea"/>
              <a:cs typeface="+mn-cs"/>
            </a:rPr>
            <a:t>nõudeta</a:t>
          </a:r>
        </a:p>
      </dsp:txBody>
      <dsp:txXfrm>
        <a:off x="1184747" y="1421554"/>
        <a:ext cx="934992" cy="623327"/>
      </dsp:txXfrm>
    </dsp:sp>
    <dsp:sp modelId="{17E8B268-81A9-46C6-91B1-6BBB14002590}">
      <dsp:nvSpPr>
        <dsp:cNvPr id="0" name=""/>
        <dsp:cNvSpPr/>
      </dsp:nvSpPr>
      <dsp:spPr>
        <a:xfrm>
          <a:off x="2228821" y="1474537"/>
          <a:ext cx="2350880" cy="517362"/>
        </a:xfrm>
        <a:prstGeom prst="chevron">
          <a:avLst/>
        </a:prstGeom>
        <a:solidFill>
          <a:srgbClr val="FFC000">
            <a:tint val="40000"/>
            <a:alpha val="90000"/>
            <a:hueOff val="0"/>
            <a:satOff val="0"/>
            <a:lumOff val="0"/>
            <a:alphaOff val="0"/>
          </a:srgbClr>
        </a:solidFill>
        <a:ln w="6350" cap="flat" cmpd="sng" algn="ctr">
          <a:solidFill>
            <a:srgbClr val="FFC000">
              <a:tint val="40000"/>
              <a:alpha val="90000"/>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9050" tIns="9525" rIns="0" bIns="9525" numCol="1" spcCol="1270" anchor="ctr" anchorCtr="0">
          <a:noAutofit/>
        </a:bodyPr>
        <a:lstStyle/>
        <a:p>
          <a:pPr marL="0" lvl="0" indent="0" algn="ctr" defTabSz="666750">
            <a:lnSpc>
              <a:spcPct val="90000"/>
            </a:lnSpc>
            <a:spcBef>
              <a:spcPct val="0"/>
            </a:spcBef>
            <a:spcAft>
              <a:spcPct val="35000"/>
            </a:spcAft>
            <a:buNone/>
          </a:pPr>
          <a:r>
            <a:rPr lang="et-EE" sz="1500" kern="1200" dirty="0">
              <a:solidFill>
                <a:sysClr val="windowText" lastClr="000000">
                  <a:hueOff val="0"/>
                  <a:satOff val="0"/>
                  <a:lumOff val="0"/>
                  <a:alphaOff val="0"/>
                </a:sysClr>
              </a:solidFill>
              <a:latin typeface="Times New Roman"/>
              <a:ea typeface="+mn-ea"/>
              <a:cs typeface="+mn-cs"/>
            </a:rPr>
            <a:t>~145 hoonet</a:t>
          </a:r>
        </a:p>
        <a:p>
          <a:pPr marL="0" lvl="0" indent="0" algn="ctr" defTabSz="666750">
            <a:lnSpc>
              <a:spcPct val="90000"/>
            </a:lnSpc>
            <a:spcBef>
              <a:spcPct val="0"/>
            </a:spcBef>
            <a:spcAft>
              <a:spcPct val="35000"/>
            </a:spcAft>
            <a:buNone/>
          </a:pPr>
          <a:r>
            <a:rPr lang="et-EE" sz="1500" kern="1200" dirty="0">
              <a:solidFill>
                <a:sysClr val="windowText" lastClr="000000">
                  <a:hueOff val="0"/>
                  <a:satOff val="0"/>
                  <a:lumOff val="0"/>
                  <a:alphaOff val="0"/>
                </a:sysClr>
              </a:solidFill>
              <a:latin typeface="Times New Roman"/>
              <a:ea typeface="+mn-ea"/>
              <a:cs typeface="+mn-cs"/>
            </a:rPr>
            <a:t>~  97 000 m</a:t>
          </a:r>
          <a:r>
            <a:rPr lang="et-EE" sz="1500" kern="1200" baseline="30000" dirty="0">
              <a:solidFill>
                <a:sysClr val="windowText" lastClr="000000">
                  <a:hueOff val="0"/>
                  <a:satOff val="0"/>
                  <a:lumOff val="0"/>
                  <a:alphaOff val="0"/>
                </a:sysClr>
              </a:solidFill>
              <a:latin typeface="Times New Roman"/>
              <a:ea typeface="+mn-ea"/>
              <a:cs typeface="+mn-cs"/>
            </a:rPr>
            <a:t>2</a:t>
          </a:r>
          <a:endParaRPr lang="et-EE" sz="1500" kern="1200" dirty="0">
            <a:solidFill>
              <a:sysClr val="windowText" lastClr="000000">
                <a:hueOff val="0"/>
                <a:satOff val="0"/>
                <a:lumOff val="0"/>
                <a:alphaOff val="0"/>
              </a:sysClr>
            </a:solidFill>
            <a:latin typeface="Times New Roman"/>
            <a:ea typeface="+mn-ea"/>
            <a:cs typeface="+mn-cs"/>
          </a:endParaRPr>
        </a:p>
      </dsp:txBody>
      <dsp:txXfrm>
        <a:off x="2487502" y="1474537"/>
        <a:ext cx="1833518" cy="517362"/>
      </dsp:txXfrm>
    </dsp:sp>
    <dsp:sp modelId="{EEBC0E08-54AC-4E43-9072-3579D3267316}">
      <dsp:nvSpPr>
        <dsp:cNvPr id="0" name=""/>
        <dsp:cNvSpPr/>
      </dsp:nvSpPr>
      <dsp:spPr>
        <a:xfrm>
          <a:off x="873083" y="2132147"/>
          <a:ext cx="1558319" cy="623327"/>
        </a:xfrm>
        <a:prstGeom prst="chevron">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t-EE" sz="1100" b="0" kern="1200" dirty="0">
              <a:solidFill>
                <a:sysClr val="window" lastClr="FFFFFF"/>
              </a:solidFill>
              <a:latin typeface="Times New Roman"/>
              <a:ea typeface="+mn-ea"/>
              <a:cs typeface="+mn-cs"/>
            </a:rPr>
            <a:t>Korterelamud, mis ei ole100% avalik sektori asutuse omandis</a:t>
          </a:r>
        </a:p>
      </dsp:txBody>
      <dsp:txXfrm>
        <a:off x="1184747" y="2132147"/>
        <a:ext cx="934992" cy="623327"/>
      </dsp:txXfrm>
    </dsp:sp>
    <dsp:sp modelId="{82F3B19B-8628-4324-A57B-D7510FF6AECF}">
      <dsp:nvSpPr>
        <dsp:cNvPr id="0" name=""/>
        <dsp:cNvSpPr/>
      </dsp:nvSpPr>
      <dsp:spPr>
        <a:xfrm>
          <a:off x="2228821" y="2185130"/>
          <a:ext cx="2461751" cy="517362"/>
        </a:xfrm>
        <a:prstGeom prst="chevron">
          <a:avLst/>
        </a:prstGeom>
        <a:solidFill>
          <a:srgbClr val="5B9BD5">
            <a:tint val="40000"/>
            <a:alpha val="90000"/>
            <a:hueOff val="0"/>
            <a:satOff val="0"/>
            <a:lumOff val="0"/>
            <a:alphaOff val="0"/>
          </a:srgbClr>
        </a:solidFill>
        <a:ln w="6350" cap="flat" cmpd="sng" algn="ctr">
          <a:solidFill>
            <a:srgbClr val="5B9BD5">
              <a:tint val="40000"/>
              <a:alpha val="90000"/>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9050" tIns="9525" rIns="0" bIns="9525" numCol="1" spcCol="1270" anchor="ctr" anchorCtr="0">
          <a:noAutofit/>
        </a:bodyPr>
        <a:lstStyle/>
        <a:p>
          <a:pPr marL="0" lvl="0" indent="0" algn="ctr" defTabSz="666750">
            <a:lnSpc>
              <a:spcPct val="90000"/>
            </a:lnSpc>
            <a:spcBef>
              <a:spcPct val="0"/>
            </a:spcBef>
            <a:spcAft>
              <a:spcPct val="35000"/>
            </a:spcAft>
            <a:buNone/>
          </a:pPr>
          <a:r>
            <a:rPr lang="et-EE" sz="1500" kern="1200" dirty="0">
              <a:solidFill>
                <a:sysClr val="windowText" lastClr="000000">
                  <a:hueOff val="0"/>
                  <a:satOff val="0"/>
                  <a:lumOff val="0"/>
                  <a:alphaOff val="0"/>
                </a:sysClr>
              </a:solidFill>
              <a:latin typeface="Times New Roman"/>
              <a:ea typeface="+mn-ea"/>
              <a:cs typeface="+mn-cs"/>
            </a:rPr>
            <a:t>~2309 hoonet</a:t>
          </a:r>
        </a:p>
        <a:p>
          <a:pPr marL="0" lvl="0" indent="0" algn="ctr" defTabSz="666750">
            <a:lnSpc>
              <a:spcPct val="90000"/>
            </a:lnSpc>
            <a:spcBef>
              <a:spcPct val="0"/>
            </a:spcBef>
            <a:spcAft>
              <a:spcPct val="35000"/>
            </a:spcAft>
            <a:buNone/>
          </a:pPr>
          <a:r>
            <a:rPr lang="et-EE" sz="1500" kern="1200" dirty="0">
              <a:solidFill>
                <a:sysClr val="windowText" lastClr="000000">
                  <a:hueOff val="0"/>
                  <a:satOff val="0"/>
                  <a:lumOff val="0"/>
                  <a:alphaOff val="0"/>
                </a:sysClr>
              </a:solidFill>
              <a:latin typeface="Times New Roman"/>
              <a:ea typeface="+mn-ea"/>
              <a:cs typeface="+mn-cs"/>
            </a:rPr>
            <a:t>~ 5 519 000 m</a:t>
          </a:r>
          <a:r>
            <a:rPr lang="et-EE" sz="1500" kern="1200" baseline="30000" dirty="0">
              <a:solidFill>
                <a:sysClr val="windowText" lastClr="000000">
                  <a:hueOff val="0"/>
                  <a:satOff val="0"/>
                  <a:lumOff val="0"/>
                  <a:alphaOff val="0"/>
                </a:sysClr>
              </a:solidFill>
              <a:latin typeface="Times New Roman"/>
              <a:ea typeface="+mn-ea"/>
              <a:cs typeface="+mn-cs"/>
            </a:rPr>
            <a:t>2</a:t>
          </a:r>
          <a:endParaRPr lang="et-EE" sz="1500" kern="1200" dirty="0">
            <a:solidFill>
              <a:sysClr val="windowText" lastClr="000000">
                <a:hueOff val="0"/>
                <a:satOff val="0"/>
                <a:lumOff val="0"/>
                <a:alphaOff val="0"/>
              </a:sysClr>
            </a:solidFill>
            <a:latin typeface="Times New Roman"/>
            <a:ea typeface="+mn-ea"/>
            <a:cs typeface="+mn-cs"/>
          </a:endParaRPr>
        </a:p>
      </dsp:txBody>
      <dsp:txXfrm>
        <a:off x="2487502" y="2185130"/>
        <a:ext cx="1944389" cy="517362"/>
      </dsp:txXfrm>
    </dsp:sp>
    <dsp:sp modelId="{5A1D66C9-352F-4A00-9575-19CA31E1EE6A}">
      <dsp:nvSpPr>
        <dsp:cNvPr id="0" name=""/>
        <dsp:cNvSpPr/>
      </dsp:nvSpPr>
      <dsp:spPr>
        <a:xfrm>
          <a:off x="873083" y="2842741"/>
          <a:ext cx="1558319" cy="623327"/>
        </a:xfrm>
        <a:prstGeom prst="chevron">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t-EE" sz="1100" b="1" kern="1200" dirty="0">
              <a:solidFill>
                <a:sysClr val="window" lastClr="FFFFFF"/>
              </a:solidFill>
              <a:latin typeface="Times New Roman"/>
              <a:ea typeface="+mn-ea"/>
              <a:cs typeface="+mn-cs"/>
            </a:rPr>
            <a:t>Avaliku sektori asutuste hooned A - C klass</a:t>
          </a:r>
        </a:p>
      </dsp:txBody>
      <dsp:txXfrm>
        <a:off x="1184747" y="2842741"/>
        <a:ext cx="934992" cy="623327"/>
      </dsp:txXfrm>
    </dsp:sp>
    <dsp:sp modelId="{025EEC86-36EF-4538-9B9D-61F03CE1490C}">
      <dsp:nvSpPr>
        <dsp:cNvPr id="0" name=""/>
        <dsp:cNvSpPr/>
      </dsp:nvSpPr>
      <dsp:spPr>
        <a:xfrm>
          <a:off x="2228821" y="2895724"/>
          <a:ext cx="2602512" cy="517362"/>
        </a:xfrm>
        <a:prstGeom prst="chevron">
          <a:avLst/>
        </a:prstGeom>
        <a:solidFill>
          <a:srgbClr val="70AD47">
            <a:tint val="40000"/>
            <a:alpha val="90000"/>
            <a:hueOff val="0"/>
            <a:satOff val="0"/>
            <a:lumOff val="0"/>
            <a:alphaOff val="0"/>
          </a:srgbClr>
        </a:solidFill>
        <a:ln w="6350" cap="flat" cmpd="sng" algn="ctr">
          <a:solidFill>
            <a:srgbClr val="70AD47">
              <a:tint val="40000"/>
              <a:alpha val="90000"/>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9050" tIns="9525" rIns="0" bIns="9525" numCol="1" spcCol="1270" anchor="ctr" anchorCtr="0">
          <a:noAutofit/>
        </a:bodyPr>
        <a:lstStyle/>
        <a:p>
          <a:pPr marL="0" lvl="0" indent="0" algn="ctr" defTabSz="666750">
            <a:lnSpc>
              <a:spcPct val="90000"/>
            </a:lnSpc>
            <a:spcBef>
              <a:spcPct val="0"/>
            </a:spcBef>
            <a:spcAft>
              <a:spcPct val="35000"/>
            </a:spcAft>
            <a:buNone/>
          </a:pPr>
          <a:r>
            <a:rPr lang="et-EE" sz="1500" b="0" kern="1200" dirty="0">
              <a:solidFill>
                <a:sysClr val="windowText" lastClr="000000">
                  <a:hueOff val="0"/>
                  <a:satOff val="0"/>
                  <a:lumOff val="0"/>
                  <a:alphaOff val="0"/>
                </a:sysClr>
              </a:solidFill>
              <a:latin typeface="Times New Roman"/>
              <a:ea typeface="+mn-ea"/>
              <a:cs typeface="+mn-cs"/>
            </a:rPr>
            <a:t>~963 hoonet</a:t>
          </a:r>
        </a:p>
        <a:p>
          <a:pPr marL="0" lvl="0" indent="0" algn="ctr" defTabSz="666750">
            <a:lnSpc>
              <a:spcPct val="90000"/>
            </a:lnSpc>
            <a:spcBef>
              <a:spcPct val="0"/>
            </a:spcBef>
            <a:spcAft>
              <a:spcPct val="35000"/>
            </a:spcAft>
            <a:buNone/>
          </a:pPr>
          <a:r>
            <a:rPr lang="et-EE" sz="1500" b="0" kern="1200" dirty="0">
              <a:solidFill>
                <a:sysClr val="windowText" lastClr="000000">
                  <a:hueOff val="0"/>
                  <a:satOff val="0"/>
                  <a:lumOff val="0"/>
                  <a:alphaOff val="0"/>
                </a:sysClr>
              </a:solidFill>
              <a:latin typeface="Times New Roman"/>
              <a:ea typeface="+mn-ea"/>
              <a:cs typeface="+mn-cs"/>
            </a:rPr>
            <a:t>~ 2 500 000 m</a:t>
          </a:r>
          <a:r>
            <a:rPr lang="et-EE" sz="1500" b="0" kern="1200" baseline="30000" dirty="0">
              <a:solidFill>
                <a:sysClr val="windowText" lastClr="000000">
                  <a:hueOff val="0"/>
                  <a:satOff val="0"/>
                  <a:lumOff val="0"/>
                  <a:alphaOff val="0"/>
                </a:sysClr>
              </a:solidFill>
              <a:latin typeface="Times New Roman"/>
              <a:ea typeface="+mn-ea"/>
              <a:cs typeface="+mn-cs"/>
            </a:rPr>
            <a:t>2</a:t>
          </a:r>
          <a:r>
            <a:rPr lang="et-EE" sz="1500" b="0" kern="1200" dirty="0">
              <a:solidFill>
                <a:sysClr val="windowText" lastClr="000000">
                  <a:hueOff val="0"/>
                  <a:satOff val="0"/>
                  <a:lumOff val="0"/>
                  <a:alphaOff val="0"/>
                </a:sysClr>
              </a:solidFill>
              <a:latin typeface="Times New Roman"/>
              <a:ea typeface="+mn-ea"/>
              <a:cs typeface="+mn-cs"/>
            </a:rPr>
            <a:t> </a:t>
          </a:r>
        </a:p>
      </dsp:txBody>
      <dsp:txXfrm>
        <a:off x="2487502" y="2895724"/>
        <a:ext cx="2085150" cy="517362"/>
      </dsp:txXfrm>
    </dsp:sp>
    <dsp:sp modelId="{1D03094B-36FE-459E-8C5D-32407765B8DB}">
      <dsp:nvSpPr>
        <dsp:cNvPr id="0" name=""/>
        <dsp:cNvSpPr/>
      </dsp:nvSpPr>
      <dsp:spPr>
        <a:xfrm>
          <a:off x="873083" y="3553335"/>
          <a:ext cx="1558319" cy="623327"/>
        </a:xfrm>
        <a:prstGeom prst="chevron">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t-EE" sz="1100" b="1" kern="1200" dirty="0">
              <a:solidFill>
                <a:sysClr val="window" lastClr="FFFFFF"/>
              </a:solidFill>
              <a:latin typeface="Times New Roman"/>
              <a:ea typeface="+mn-ea"/>
              <a:cs typeface="+mn-cs"/>
            </a:rPr>
            <a:t>Baastase</a:t>
          </a:r>
        </a:p>
      </dsp:txBody>
      <dsp:txXfrm>
        <a:off x="1184747" y="3553335"/>
        <a:ext cx="934992" cy="623327"/>
      </dsp:txXfrm>
    </dsp:sp>
    <dsp:sp modelId="{3FEADA2E-1A23-47CB-8DDB-C0CA8DA661AF}">
      <dsp:nvSpPr>
        <dsp:cNvPr id="0" name=""/>
        <dsp:cNvSpPr/>
      </dsp:nvSpPr>
      <dsp:spPr>
        <a:xfrm>
          <a:off x="2228821" y="3606318"/>
          <a:ext cx="2658814" cy="517362"/>
        </a:xfrm>
        <a:prstGeom prst="chevron">
          <a:avLst/>
        </a:prstGeom>
        <a:solidFill>
          <a:srgbClr val="ED7D31">
            <a:tint val="40000"/>
            <a:alpha val="90000"/>
            <a:hueOff val="0"/>
            <a:satOff val="0"/>
            <a:lumOff val="0"/>
            <a:alphaOff val="0"/>
          </a:srgbClr>
        </a:solidFill>
        <a:ln w="6350" cap="flat" cmpd="sng" algn="ctr">
          <a:solidFill>
            <a:srgbClr val="ED7D31">
              <a:tint val="40000"/>
              <a:alpha val="90000"/>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9050" tIns="9525" rIns="0" bIns="9525" numCol="1" spcCol="1270" anchor="ctr" anchorCtr="0">
          <a:noAutofit/>
        </a:bodyPr>
        <a:lstStyle/>
        <a:p>
          <a:pPr marL="0" lvl="0" indent="0" algn="ctr" defTabSz="666750">
            <a:lnSpc>
              <a:spcPct val="90000"/>
            </a:lnSpc>
            <a:spcBef>
              <a:spcPct val="0"/>
            </a:spcBef>
            <a:spcAft>
              <a:spcPct val="35000"/>
            </a:spcAft>
            <a:buNone/>
          </a:pPr>
          <a:r>
            <a:rPr lang="et-EE" sz="1500" b="0" kern="1200" dirty="0">
              <a:solidFill>
                <a:sysClr val="windowText" lastClr="000000">
                  <a:hueOff val="0"/>
                  <a:satOff val="0"/>
                  <a:lumOff val="0"/>
                  <a:alphaOff val="0"/>
                </a:sysClr>
              </a:solidFill>
              <a:latin typeface="Times New Roman"/>
              <a:ea typeface="+mn-ea"/>
              <a:cs typeface="+mn-cs"/>
            </a:rPr>
            <a:t>~3759 hoonet</a:t>
          </a:r>
        </a:p>
        <a:p>
          <a:pPr marL="0" lvl="0" indent="0" algn="ctr" defTabSz="666750">
            <a:lnSpc>
              <a:spcPct val="90000"/>
            </a:lnSpc>
            <a:spcBef>
              <a:spcPct val="0"/>
            </a:spcBef>
            <a:spcAft>
              <a:spcPct val="35000"/>
            </a:spcAft>
            <a:buNone/>
          </a:pPr>
          <a:r>
            <a:rPr lang="et-EE" sz="1500" b="0" kern="1200" dirty="0">
              <a:solidFill>
                <a:sysClr val="windowText" lastClr="000000">
                  <a:hueOff val="0"/>
                  <a:satOff val="0"/>
                  <a:lumOff val="0"/>
                  <a:alphaOff val="0"/>
                </a:sysClr>
              </a:solidFill>
              <a:latin typeface="Times New Roman"/>
              <a:ea typeface="+mn-ea"/>
              <a:cs typeface="+mn-cs"/>
            </a:rPr>
            <a:t>~ 6 550 000 m</a:t>
          </a:r>
          <a:r>
            <a:rPr lang="et-EE" sz="1500" b="0" kern="1200" baseline="30000" dirty="0">
              <a:solidFill>
                <a:sysClr val="windowText" lastClr="000000">
                  <a:hueOff val="0"/>
                  <a:satOff val="0"/>
                  <a:lumOff val="0"/>
                  <a:alphaOff val="0"/>
                </a:sysClr>
              </a:solidFill>
              <a:latin typeface="Times New Roman"/>
              <a:ea typeface="+mn-ea"/>
              <a:cs typeface="+mn-cs"/>
            </a:rPr>
            <a:t>2</a:t>
          </a:r>
          <a:r>
            <a:rPr lang="et-EE" sz="1500" b="0" kern="1200" dirty="0">
              <a:solidFill>
                <a:sysClr val="windowText" lastClr="000000">
                  <a:hueOff val="0"/>
                  <a:satOff val="0"/>
                  <a:lumOff val="0"/>
                  <a:alphaOff val="0"/>
                </a:sysClr>
              </a:solidFill>
              <a:latin typeface="Times New Roman"/>
              <a:ea typeface="+mn-ea"/>
              <a:cs typeface="+mn-cs"/>
            </a:rPr>
            <a:t> </a:t>
          </a:r>
        </a:p>
      </dsp:txBody>
      <dsp:txXfrm>
        <a:off x="2487502" y="3606318"/>
        <a:ext cx="2141452" cy="517362"/>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oraine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Soraine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Soraine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roperties xmlns="http://www.imanage.com/work/xmlschema">
  <documentid>LEGAL!11610477.5</documentid>
  <senderid>KASPAR.E</senderid>
  <senderemail>KASPAR.ENDRIKSON@SORAINEN.COM</senderemail>
  <lastmodified>2024-07-10T18:18:00.0000000+03:00</lastmodified>
  <database>LEGAL</database>
</properties>
</file>

<file path=customXml/itemProps1.xml><?xml version="1.0" encoding="utf-8"?>
<ds:datastoreItem xmlns:ds="http://schemas.openxmlformats.org/officeDocument/2006/customXml" ds:itemID="{72CBE461-861B-4E34-8893-CF0A08E04153}">
  <ds:schemaRefs>
    <ds:schemaRef ds:uri="http://schemas.openxmlformats.org/officeDocument/2006/bibliography"/>
  </ds:schemaRefs>
</ds:datastoreItem>
</file>

<file path=customXml/itemProps2.xml><?xml version="1.0" encoding="utf-8"?>
<ds:datastoreItem xmlns:ds="http://schemas.openxmlformats.org/officeDocument/2006/customXml" ds:itemID="{16334C5C-90B7-40BD-84FE-ED0CABBA94AF}">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Normal</Template>
  <TotalTime>3959</TotalTime>
  <Pages>55</Pages>
  <Words>17596</Words>
  <Characters>134140</Characters>
  <Application>Microsoft Office Word</Application>
  <DocSecurity>0</DocSecurity>
  <Lines>1117</Lines>
  <Paragraphs>302</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EnKS jt muutmise eelnõu SK.docx</vt:lpstr>
      <vt:lpstr>EnKS jt muutmise eelnõu SK.docx</vt:lpstr>
    </vt:vector>
  </TitlesOfParts>
  <Company/>
  <LinksUpToDate>false</LinksUpToDate>
  <CharactersWithSpaces>151434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EnKS jt muutmise eelnõu SK.docx</dc:title>
  <dc:subject/>
  <dc:creator>Liisa Kähr | Sorainen</dc:creator>
  <dc:description/>
  <cp:lastModifiedBy>Ivo Jaanisoo</cp:lastModifiedBy>
  <cp:revision>3538</cp:revision>
  <dcterms:created xsi:type="dcterms:W3CDTF">2024-08-23T13:41:00Z</dcterms:created>
  <dcterms:modified xsi:type="dcterms:W3CDTF">2025-07-20T15:22:00Z</dcterms:modified>
</cp:coreProperties>
</file>